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B14C" w14:textId="2FA212CB" w:rsidR="00AA1758" w:rsidRPr="00AA1758" w:rsidRDefault="00AA1758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Naslov projekta: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AA1758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Digitalna tehnologija pri pouku matematike</w:t>
      </w:r>
      <w:r w:rsid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br/>
      </w:r>
    </w:p>
    <w:p w14:paraId="3143922B" w14:textId="10A84492" w:rsidR="00AA1758" w:rsidRPr="00AA1758" w:rsidRDefault="00BA28F4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Za koga</w:t>
      </w:r>
      <w:r w:rsidR="00AA1758">
        <w:rPr>
          <w:rFonts w:ascii="Tahoma" w:eastAsia="Times New Roman" w:hAnsi="Tahoma" w:cs="Tahoma"/>
          <w:sz w:val="24"/>
          <w:szCs w:val="24"/>
          <w:lang w:eastAsia="sl-SI"/>
        </w:rPr>
        <w:t xml:space="preserve">: 2. letnik SSI in </w:t>
      </w:r>
      <w:r w:rsidR="00F219D4">
        <w:rPr>
          <w:rFonts w:ascii="Tahoma" w:eastAsia="Times New Roman" w:hAnsi="Tahoma" w:cs="Tahoma"/>
          <w:sz w:val="24"/>
          <w:szCs w:val="24"/>
          <w:lang w:eastAsia="sl-SI"/>
        </w:rPr>
        <w:t>1</w:t>
      </w:r>
      <w:r w:rsidR="00AA1758">
        <w:rPr>
          <w:rFonts w:ascii="Tahoma" w:eastAsia="Times New Roman" w:hAnsi="Tahoma" w:cs="Tahoma"/>
          <w:sz w:val="24"/>
          <w:szCs w:val="24"/>
          <w:lang w:eastAsia="sl-SI"/>
        </w:rPr>
        <w:t xml:space="preserve">. letnik </w:t>
      </w:r>
      <w:r w:rsidR="00F219D4">
        <w:rPr>
          <w:rFonts w:ascii="Tahoma" w:eastAsia="Times New Roman" w:hAnsi="Tahoma" w:cs="Tahoma"/>
          <w:sz w:val="24"/>
          <w:szCs w:val="24"/>
          <w:lang w:eastAsia="sl-SI"/>
        </w:rPr>
        <w:t>GT</w:t>
      </w:r>
      <w:r w:rsidR="00AA1758">
        <w:rPr>
          <w:rFonts w:ascii="Tahoma" w:eastAsia="Times New Roman" w:hAnsi="Tahoma" w:cs="Tahoma"/>
          <w:sz w:val="24"/>
          <w:szCs w:val="24"/>
          <w:lang w:eastAsia="sl-SI"/>
        </w:rPr>
        <w:t xml:space="preserve">I </w:t>
      </w:r>
      <w:r w:rsidR="008E2503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br/>
      </w:r>
    </w:p>
    <w:p w14:paraId="084B4222" w14:textId="13C469DA" w:rsidR="00AA1758" w:rsidRPr="00AA1758" w:rsidRDefault="00AA1758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[opis namenjen učitelju]</w:t>
      </w:r>
      <w:r w:rsidR="008E6506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:</w:t>
      </w:r>
      <w:r w:rsidR="008E6506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="008E6506" w:rsidRPr="003B502A">
        <w:rPr>
          <w:rFonts w:ascii="Verdana" w:eastAsia="Times New Roman" w:hAnsi="Verdana" w:cs="Times New Roman"/>
          <w:color w:val="000000"/>
          <w:sz w:val="20"/>
          <w:szCs w:val="20"/>
        </w:rPr>
        <w:t>Dijaki ne znajo sami preverjati znanja s pomočjo digitalne tehnologije, ki jim je na voljo. Digitalna tehnologija se pri pouku uporablja redko</w:t>
      </w:r>
      <w:r w:rsidR="008E6506">
        <w:rPr>
          <w:rFonts w:ascii="Verdana" w:eastAsia="Times New Roman" w:hAnsi="Verdana" w:cs="Times New Roman"/>
          <w:color w:val="000000"/>
          <w:sz w:val="20"/>
          <w:szCs w:val="20"/>
        </w:rPr>
        <w:t xml:space="preserve"> (kombiniranje učilnic, (navidezno</w:t>
      </w:r>
      <w:r w:rsidR="008E2503">
        <w:rPr>
          <w:rFonts w:ascii="Verdana" w:eastAsia="Times New Roman" w:hAnsi="Verdana" w:cs="Times New Roman"/>
          <w:color w:val="000000"/>
          <w:sz w:val="20"/>
          <w:szCs w:val="20"/>
        </w:rPr>
        <w:t>?</w:t>
      </w:r>
      <w:r w:rsidR="008E6506">
        <w:rPr>
          <w:rFonts w:ascii="Verdana" w:eastAsia="Times New Roman" w:hAnsi="Verdana" w:cs="Times New Roman"/>
          <w:color w:val="000000"/>
          <w:sz w:val="20"/>
          <w:szCs w:val="20"/>
        </w:rPr>
        <w:t>) zahtevnejše delo, več mrtvega časa (razlika med počasnejšimi in hitrejšimi dijaki))</w:t>
      </w:r>
      <w:r w:rsidR="008E6506" w:rsidRPr="003B502A">
        <w:rPr>
          <w:rFonts w:ascii="Verdana" w:eastAsia="Times New Roman" w:hAnsi="Verdana" w:cs="Times New Roman"/>
          <w:color w:val="000000"/>
          <w:sz w:val="20"/>
          <w:szCs w:val="20"/>
        </w:rPr>
        <w:t>, hkrati pa je želja, da jo dijaki obvladajo in usvojeno znanje dokažejo tudi na poklicni maturi. Meniva, da je digitalna tehnologija v pouk matematike dana preveč prisilno, če sploh je, namesto da bi dijakom pomagala preverjati njihovo znanje oz. nadgrajevati znanje (vsaj za dijake na višjem nivoju znanja v smislu problemskega znanja in dodatnega raziskovanja).</w:t>
      </w:r>
      <w:r w:rsidR="008E6506" w:rsidRPr="003B502A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14:paraId="14C709DB" w14:textId="77777777" w:rsidR="008E2503" w:rsidRDefault="00AA1758" w:rsidP="00BA28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 xml:space="preserve">[opis namenjen </w:t>
      </w:r>
      <w:r w:rsidR="007401BB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dijaku</w:t>
      </w: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]</w:t>
      </w:r>
      <w:r w:rsidR="008E6506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:</w:t>
      </w:r>
      <w:r w:rsidR="008E6506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="008E6506">
        <w:rPr>
          <w:rFonts w:ascii="Tahoma" w:eastAsia="Times New Roman" w:hAnsi="Tahoma" w:cs="Tahoma"/>
          <w:sz w:val="24"/>
          <w:szCs w:val="24"/>
          <w:lang w:eastAsia="sl-SI"/>
        </w:rPr>
        <w:br/>
      </w:r>
      <w:r w:rsidR="008E6506">
        <w:rPr>
          <w:rFonts w:ascii="Verdana" w:eastAsia="Times New Roman" w:hAnsi="Verdana" w:cs="Times New Roman"/>
          <w:color w:val="000000"/>
          <w:sz w:val="20"/>
          <w:szCs w:val="20"/>
        </w:rPr>
        <w:t>N</w:t>
      </w:r>
      <w:r w:rsidR="008E6506"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adgraditev, popestritev in obogatitev učne vsebine </w:t>
      </w:r>
      <w:r w:rsidR="008E6506">
        <w:rPr>
          <w:rFonts w:ascii="Verdana" w:eastAsia="Times New Roman" w:hAnsi="Verdana" w:cs="Times New Roman"/>
          <w:color w:val="000000"/>
          <w:sz w:val="20"/>
          <w:szCs w:val="20"/>
        </w:rPr>
        <w:t>matematike z uporabo digitalne tehnologije</w:t>
      </w:r>
      <w:r w:rsidR="001B67A3">
        <w:rPr>
          <w:rFonts w:ascii="Verdana" w:eastAsia="Times New Roman" w:hAnsi="Verdana" w:cs="Times New Roman"/>
          <w:color w:val="000000"/>
          <w:sz w:val="20"/>
          <w:szCs w:val="20"/>
        </w:rPr>
        <w:t xml:space="preserve"> z namenom: </w:t>
      </w:r>
    </w:p>
    <w:p w14:paraId="304E6177" w14:textId="08F6329C" w:rsidR="001B67A3" w:rsidRPr="003B502A" w:rsidRDefault="001B67A3" w:rsidP="008E250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dijaki lahko sami preverijo svoje znanje (brez čakanja na rešitve učitelja) - npr. uporaba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geo</w:t>
      </w:r>
      <w:r w:rsidR="008E2503">
        <w:rPr>
          <w:rFonts w:ascii="Verdana" w:eastAsia="Times New Roman" w:hAnsi="Verdana" w:cs="Times New Roman"/>
          <w:color w:val="000000"/>
          <w:sz w:val="20"/>
          <w:szCs w:val="20"/>
        </w:rPr>
        <w:t>G</w:t>
      </w: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ebre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 za risanje racionalne funkcije, iskanje ničel</w:t>
      </w:r>
    </w:p>
    <w:p w14:paraId="49FDDD15" w14:textId="77777777" w:rsidR="001B67A3" w:rsidRPr="003B502A" w:rsidRDefault="001B67A3" w:rsidP="001B67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dijaki razumejo digitalno tehnologijo kot pripomoček, ki jim pomaga, ne pa namesto njih razmišlja (torej nadgradijo znanje, razumejo zakaj se ukvarjamo z logičnim razmišljanjem, razumejo tehnologijo kot pohitritev procesov, ko veš kaj delaš) (npr. iskanje ničel, razcepi, preverjanje)</w:t>
      </w:r>
    </w:p>
    <w:p w14:paraId="2B175A14" w14:textId="77777777" w:rsidR="001B67A3" w:rsidRPr="003B502A" w:rsidRDefault="001B67A3" w:rsidP="001B67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dijaki uporabljajo digitalno tehnologijo z namenom raziskovanja problemov, nadgrajevanja znanja in uporabo kompleksnih postopkov (npr. statistika, verjetnost, mreže teles)</w:t>
      </w:r>
    </w:p>
    <w:p w14:paraId="39E776E0" w14:textId="566B63BB" w:rsidR="001B67A3" w:rsidRDefault="001B67A3" w:rsidP="001B67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dijaki imajo boljšo predstavo o tekoči snovi (npr. v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geogebri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 prikaz teles v 3D in izris mreže pla</w:t>
      </w:r>
      <w:r w:rsidR="007401BB">
        <w:rPr>
          <w:rFonts w:ascii="Verdana" w:eastAsia="Times New Roman" w:hAnsi="Verdana" w:cs="Times New Roman"/>
          <w:color w:val="000000"/>
          <w:sz w:val="20"/>
          <w:szCs w:val="20"/>
        </w:rPr>
        <w:t>š</w:t>
      </w:r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ča, v </w:t>
      </w:r>
      <w:proofErr w:type="spellStart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>autocadu</w:t>
      </w:r>
      <w:proofErr w:type="spellEnd"/>
      <w:r w:rsidRPr="003B502A">
        <w:rPr>
          <w:rFonts w:ascii="Verdana" w:eastAsia="Times New Roman" w:hAnsi="Verdana" w:cs="Times New Roman"/>
          <w:color w:val="000000"/>
          <w:sz w:val="20"/>
          <w:szCs w:val="20"/>
        </w:rPr>
        <w:t xml:space="preserve"> tloris, naris in stranski ris (neke stavbe/telesa) povezan v 3D prikaz)</w:t>
      </w:r>
      <w:r w:rsidR="008E2503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14:paraId="70DDF1F8" w14:textId="77777777" w:rsidR="008E2503" w:rsidRDefault="008E2503" w:rsidP="008E250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352482B9" w14:textId="77777777" w:rsidR="008E2503" w:rsidRDefault="008E2503">
      <w:pPr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br w:type="page"/>
      </w:r>
    </w:p>
    <w:p w14:paraId="65260CBB" w14:textId="49E346CD" w:rsidR="00AA1758" w:rsidRPr="008E2503" w:rsidRDefault="00BA28F4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lastRenderedPageBreak/>
        <w:t>T</w:t>
      </w:r>
      <w:r w:rsidR="00AA1758"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emeljna znanja</w:t>
      </w:r>
    </w:p>
    <w:p w14:paraId="0F5FE37D" w14:textId="289D751F" w:rsidR="00307DD1" w:rsidRDefault="00307DD1" w:rsidP="008E2503">
      <w:pPr>
        <w:spacing w:before="100" w:beforeAutospacing="1" w:after="0" w:line="240" w:lineRule="auto"/>
        <w:ind w:left="720"/>
        <w:rPr>
          <w:rFonts w:ascii="Tahoma" w:eastAsia="Times New Roman" w:hAnsi="Tahoma" w:cs="Tahoma"/>
          <w:sz w:val="24"/>
          <w:szCs w:val="24"/>
          <w:lang w:eastAsia="sl-SI"/>
        </w:rPr>
      </w:pPr>
      <w:r w:rsidRPr="00937122">
        <w:rPr>
          <w:rFonts w:ascii="Tahoma" w:eastAsia="Times New Roman" w:hAnsi="Tahoma" w:cs="Tahoma"/>
          <w:sz w:val="24"/>
          <w:szCs w:val="24"/>
          <w:lang w:eastAsia="sl-SI"/>
        </w:rPr>
        <w:t>Temeljna znanja RIN:</w:t>
      </w:r>
      <w:r w:rsidR="00BA28F4" w:rsidRPr="00937122">
        <w:rPr>
          <w:rFonts w:ascii="Tahoma" w:eastAsia="Times New Roman" w:hAnsi="Tahoma" w:cs="Tahoma"/>
          <w:sz w:val="24"/>
          <w:szCs w:val="24"/>
          <w:lang w:eastAsia="sl-SI"/>
        </w:rPr>
        <w:t xml:space="preserve"> podatki in njihova analiza, algoritmi in programiranje</w:t>
      </w:r>
    </w:p>
    <w:p w14:paraId="734485C6" w14:textId="600DE50D" w:rsidR="00307DD1" w:rsidRDefault="00307DD1" w:rsidP="008E2503">
      <w:pPr>
        <w:spacing w:before="100" w:beforeAutospacing="1" w:after="0" w:line="240" w:lineRule="auto"/>
        <w:ind w:left="720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Temeljna znanja matematika – 2. letnik SSI:</w:t>
      </w:r>
    </w:p>
    <w:p w14:paraId="10191F95" w14:textId="575006E7" w:rsidR="00C9225F" w:rsidRDefault="00C9225F" w:rsidP="00C9225F">
      <w:pPr>
        <w:pStyle w:val="Odstavekseznama"/>
        <w:numPr>
          <w:ilvl w:val="2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Geometrija v ravnini (osnovni pojmi, skladnost in merjenje kotov, preslikave v ravnini, trikotnik, krog in krožnica, štirikotnik, podobnost, izreki v pravokotnem trikotniku, kotne funkcije)</w:t>
      </w:r>
    </w:p>
    <w:p w14:paraId="3425B45E" w14:textId="69F8E662" w:rsidR="00BA28F4" w:rsidRPr="00BA28F4" w:rsidRDefault="00BA28F4" w:rsidP="00C9225F">
      <w:pPr>
        <w:pStyle w:val="Odstavekseznama"/>
        <w:numPr>
          <w:ilvl w:val="2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i/>
          <w:iCs/>
          <w:sz w:val="24"/>
          <w:szCs w:val="24"/>
          <w:lang w:eastAsia="sl-SI"/>
        </w:rPr>
      </w:pPr>
      <w:r w:rsidRPr="00BA28F4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Potenčna in kvadratna funkcija</w:t>
      </w:r>
      <w:r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 xml:space="preserve"> (če bo šlo)</w:t>
      </w:r>
    </w:p>
    <w:p w14:paraId="11C7350F" w14:textId="1C955AF6" w:rsidR="0004089B" w:rsidRDefault="0004089B" w:rsidP="008E2503">
      <w:pPr>
        <w:spacing w:before="100" w:beforeAutospacing="1" w:after="0" w:line="240" w:lineRule="auto"/>
        <w:ind w:left="720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Temeljna znanja matematika – </w:t>
      </w:r>
      <w:r w:rsidR="00BA28F4">
        <w:rPr>
          <w:rFonts w:ascii="Tahoma" w:eastAsia="Times New Roman" w:hAnsi="Tahoma" w:cs="Tahoma"/>
          <w:sz w:val="24"/>
          <w:szCs w:val="24"/>
          <w:lang w:eastAsia="sl-SI"/>
        </w:rPr>
        <w:t>1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. letnik </w:t>
      </w:r>
      <w:r w:rsidR="00BA28F4">
        <w:rPr>
          <w:rFonts w:ascii="Tahoma" w:eastAsia="Times New Roman" w:hAnsi="Tahoma" w:cs="Tahoma"/>
          <w:sz w:val="24"/>
          <w:szCs w:val="24"/>
          <w:lang w:eastAsia="sl-SI"/>
        </w:rPr>
        <w:t>GT</w:t>
      </w:r>
      <w:r>
        <w:rPr>
          <w:rFonts w:ascii="Tahoma" w:eastAsia="Times New Roman" w:hAnsi="Tahoma" w:cs="Tahoma"/>
          <w:sz w:val="24"/>
          <w:szCs w:val="24"/>
          <w:lang w:eastAsia="sl-SI"/>
        </w:rPr>
        <w:t>I:</w:t>
      </w:r>
    </w:p>
    <w:p w14:paraId="012DACC6" w14:textId="61F5AA8E" w:rsidR="00BA28F4" w:rsidRPr="00BA28F4" w:rsidRDefault="001B67A3" w:rsidP="00BA28F4">
      <w:pPr>
        <w:pStyle w:val="Odstavekseznama"/>
        <w:numPr>
          <w:ilvl w:val="2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Osnove logike, obdelava podatkov in osnove verjetnostnega računa</w:t>
      </w:r>
    </w:p>
    <w:p w14:paraId="7FC34296" w14:textId="61F242A5" w:rsidR="00AA1758" w:rsidRPr="00BA28F4" w:rsidRDefault="00BA28F4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BA28F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O</w:t>
      </w:r>
      <w:r w:rsidR="00AA1758" w:rsidRPr="00BA28F4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perativni učni cilji</w:t>
      </w:r>
    </w:p>
    <w:p w14:paraId="78684029" w14:textId="6157AA09" w:rsidR="001B67A3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Zmožnost za uporabljanje tehnologije pri izvajanju matematičnih postopkov ter pri raziskovanju in reševanju matematičnih problemov.</w:t>
      </w:r>
    </w:p>
    <w:p w14:paraId="7B231879" w14:textId="16884A73" w:rsidR="008D0AC0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razvija sposobnosti za učinkovito in uspešno iskanje, vrednotenje, hranjenje, obdelavo, prenos, in uporabo podatkov.</w:t>
      </w:r>
    </w:p>
    <w:p w14:paraId="059CD348" w14:textId="231024CF" w:rsidR="008D0AC0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spozna in zna uporabljati računalniško tehnologijo in programsko opremo.</w:t>
      </w:r>
    </w:p>
    <w:p w14:paraId="3D60D8AA" w14:textId="43EA8950" w:rsidR="008D0AC0" w:rsidRDefault="008D0AC0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zna posamezne strokovne teme obravnavati v luči problemov.</w:t>
      </w:r>
    </w:p>
    <w:p w14:paraId="17A29636" w14:textId="063DD2AA" w:rsidR="007401BB" w:rsidRDefault="007401BB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se usposablja za učinkovito in konstruktivno sodelovanje v skupini.</w:t>
      </w:r>
    </w:p>
    <w:p w14:paraId="0CC77E65" w14:textId="69EF0AC9" w:rsidR="007401BB" w:rsidRDefault="007401BB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pozna pomen in vlogo digitalne/računalniške tehnologije jo spozna in zna uporabljati.</w:t>
      </w:r>
    </w:p>
    <w:p w14:paraId="6A4E9EC7" w14:textId="374A4ABD" w:rsidR="007401BB" w:rsidRDefault="007401BB" w:rsidP="001B67A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Dijak razvija ustvarjalno mišljenje in je sposoben reševanja problemov.</w:t>
      </w:r>
    </w:p>
    <w:p w14:paraId="370F0C1A" w14:textId="77777777" w:rsidR="00BA28F4" w:rsidRDefault="00BA28F4">
      <w:pPr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br w:type="page"/>
      </w:r>
    </w:p>
    <w:p w14:paraId="114A869E" w14:textId="1549A922" w:rsidR="001B67A3" w:rsidRDefault="00AA1758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8E2503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lastRenderedPageBreak/>
        <w:t>Okvirna časovna opredelitev projekta</w:t>
      </w:r>
      <w:r w:rsidRPr="00AA1758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</w:p>
    <w:p w14:paraId="45EA4369" w14:textId="777D6920" w:rsidR="00B732AB" w:rsidRDefault="00B732AB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2. letnik SSI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334"/>
        <w:gridCol w:w="1863"/>
        <w:gridCol w:w="1865"/>
        <w:gridCol w:w="1966"/>
        <w:gridCol w:w="2323"/>
      </w:tblGrid>
      <w:tr w:rsidR="00E82AFF" w14:paraId="2FBBFBB1" w14:textId="77777777" w:rsidTr="00E82AFF">
        <w:tc>
          <w:tcPr>
            <w:tcW w:w="1334" w:type="dxa"/>
          </w:tcPr>
          <w:p w14:paraId="49686BEA" w14:textId="59657756" w:rsid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ČAS</w:t>
            </w:r>
          </w:p>
        </w:tc>
        <w:tc>
          <w:tcPr>
            <w:tcW w:w="1863" w:type="dxa"/>
          </w:tcPr>
          <w:p w14:paraId="2E6C2D74" w14:textId="7FED3071" w:rsid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MATEMATIKA</w:t>
            </w:r>
          </w:p>
        </w:tc>
        <w:tc>
          <w:tcPr>
            <w:tcW w:w="1865" w:type="dxa"/>
          </w:tcPr>
          <w:p w14:paraId="071894AF" w14:textId="48A20AF4" w:rsid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RIN pri uri MAT</w:t>
            </w:r>
          </w:p>
        </w:tc>
        <w:tc>
          <w:tcPr>
            <w:tcW w:w="1966" w:type="dxa"/>
          </w:tcPr>
          <w:p w14:paraId="550CB35F" w14:textId="515BD8A8" w:rsid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Stavbarstvo - vaje</w:t>
            </w:r>
          </w:p>
        </w:tc>
        <w:tc>
          <w:tcPr>
            <w:tcW w:w="2323" w:type="dxa"/>
          </w:tcPr>
          <w:p w14:paraId="634A2D62" w14:textId="40691E0E" w:rsid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Osnove projektiranja</w:t>
            </w:r>
          </w:p>
        </w:tc>
      </w:tr>
      <w:tr w:rsidR="00E82AFF" w:rsidRPr="00E82AFF" w14:paraId="5E3D4E2D" w14:textId="77777777" w:rsidTr="00E82AFF">
        <w:tc>
          <w:tcPr>
            <w:tcW w:w="1334" w:type="dxa"/>
          </w:tcPr>
          <w:p w14:paraId="31726181" w14:textId="5FBDE883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 w:rsidRPr="00E82AFF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Že obdelano 1. letnik</w:t>
            </w:r>
          </w:p>
        </w:tc>
        <w:tc>
          <w:tcPr>
            <w:tcW w:w="1863" w:type="dxa"/>
          </w:tcPr>
          <w:p w14:paraId="0C13571A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865" w:type="dxa"/>
          </w:tcPr>
          <w:p w14:paraId="5D012DA0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966" w:type="dxa"/>
          </w:tcPr>
          <w:p w14:paraId="11404146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323" w:type="dxa"/>
          </w:tcPr>
          <w:p w14:paraId="6914CE5A" w14:textId="50068DAD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ACad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– osnovni geometrijski pojmi (35h)</w:t>
            </w:r>
          </w:p>
        </w:tc>
      </w:tr>
      <w:tr w:rsidR="00E82AFF" w14:paraId="7103A716" w14:textId="77777777" w:rsidTr="00E82AFF">
        <w:tc>
          <w:tcPr>
            <w:tcW w:w="1334" w:type="dxa"/>
          </w:tcPr>
          <w:p w14:paraId="2A153B6F" w14:textId="3D71B869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Okt 2022</w:t>
            </w:r>
          </w:p>
        </w:tc>
        <w:tc>
          <w:tcPr>
            <w:tcW w:w="1863" w:type="dxa"/>
          </w:tcPr>
          <w:p w14:paraId="59B38F23" w14:textId="1796D5C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Osnovni geometrijski pojmi (1h)</w:t>
            </w:r>
          </w:p>
        </w:tc>
        <w:tc>
          <w:tcPr>
            <w:tcW w:w="1865" w:type="dxa"/>
          </w:tcPr>
          <w:p w14:paraId="588729C0" w14:textId="593D957E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Osnovni geometrijski pojmi v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Geogebri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(2h)</w:t>
            </w:r>
          </w:p>
        </w:tc>
        <w:tc>
          <w:tcPr>
            <w:tcW w:w="1966" w:type="dxa"/>
          </w:tcPr>
          <w:p w14:paraId="54598423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323" w:type="dxa"/>
          </w:tcPr>
          <w:p w14:paraId="092F274F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  <w:tr w:rsidR="00E82AFF" w14:paraId="23ED39BD" w14:textId="77777777" w:rsidTr="00E82AFF">
        <w:tc>
          <w:tcPr>
            <w:tcW w:w="1334" w:type="dxa"/>
          </w:tcPr>
          <w:p w14:paraId="0DAB6721" w14:textId="405B74C8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Nov 2022</w:t>
            </w:r>
          </w:p>
        </w:tc>
        <w:tc>
          <w:tcPr>
            <w:tcW w:w="1863" w:type="dxa"/>
          </w:tcPr>
          <w:p w14:paraId="342DE955" w14:textId="53C73EFF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Konstrukcije (5h)</w:t>
            </w:r>
          </w:p>
        </w:tc>
        <w:tc>
          <w:tcPr>
            <w:tcW w:w="1865" w:type="dxa"/>
          </w:tcPr>
          <w:p w14:paraId="605D42E9" w14:textId="217EF25D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Konstrukcije v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Geogebri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(2h + 1h)</w:t>
            </w:r>
          </w:p>
        </w:tc>
        <w:tc>
          <w:tcPr>
            <w:tcW w:w="1966" w:type="dxa"/>
          </w:tcPr>
          <w:p w14:paraId="74DCC719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323" w:type="dxa"/>
          </w:tcPr>
          <w:p w14:paraId="54CEFDD8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  <w:tr w:rsidR="00E82AFF" w14:paraId="294AC262" w14:textId="77777777" w:rsidTr="00E82AFF">
        <w:tc>
          <w:tcPr>
            <w:tcW w:w="1334" w:type="dxa"/>
          </w:tcPr>
          <w:p w14:paraId="2DE0FFB3" w14:textId="2F16D0CD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Celo leto</w:t>
            </w:r>
          </w:p>
        </w:tc>
        <w:tc>
          <w:tcPr>
            <w:tcW w:w="1863" w:type="dxa"/>
          </w:tcPr>
          <w:p w14:paraId="5ECCBB36" w14:textId="03A00B5F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865" w:type="dxa"/>
          </w:tcPr>
          <w:p w14:paraId="6F36DF41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966" w:type="dxa"/>
          </w:tcPr>
          <w:p w14:paraId="271FBC3F" w14:textId="30F263E2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ACad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– zahtevnejše oblike risanje, zunanja ureditev okolice</w:t>
            </w:r>
          </w:p>
        </w:tc>
        <w:tc>
          <w:tcPr>
            <w:tcW w:w="2323" w:type="dxa"/>
          </w:tcPr>
          <w:p w14:paraId="07858BA4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  <w:tr w:rsidR="00E82AFF" w14:paraId="50F8C98D" w14:textId="77777777" w:rsidTr="00E82AFF">
        <w:tc>
          <w:tcPr>
            <w:tcW w:w="1334" w:type="dxa"/>
          </w:tcPr>
          <w:p w14:paraId="3AFA3823" w14:textId="4DC2A5C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Celo leto </w:t>
            </w:r>
            <w:r w:rsidRPr="00E82AFF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sl-SI"/>
              </w:rPr>
              <w:t>(v trojkah?)</w:t>
            </w:r>
          </w:p>
        </w:tc>
        <w:tc>
          <w:tcPr>
            <w:tcW w:w="1863" w:type="dxa"/>
          </w:tcPr>
          <w:p w14:paraId="340FFF19" w14:textId="2BBE34BE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865" w:type="dxa"/>
          </w:tcPr>
          <w:p w14:paraId="64BA1F39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966" w:type="dxa"/>
          </w:tcPr>
          <w:p w14:paraId="534CAFF0" w14:textId="77777777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2323" w:type="dxa"/>
          </w:tcPr>
          <w:p w14:paraId="4006690C" w14:textId="1C785F8F" w:rsidR="00E82AFF" w:rsidRPr="00E82AFF" w:rsidRDefault="00E82AFF" w:rsidP="00BA28F4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Načrt stanovanjske hiše v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ACad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(tloris, naris, stranski ris, različni geometrijski liki)</w:t>
            </w:r>
          </w:p>
        </w:tc>
      </w:tr>
    </w:tbl>
    <w:p w14:paraId="492A9F1E" w14:textId="1B3E841E" w:rsidR="00B732AB" w:rsidRDefault="00B732AB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1. letnik TGI</w:t>
      </w:r>
    </w:p>
    <w:p w14:paraId="44113AA8" w14:textId="77777777" w:rsidR="00B732AB" w:rsidRDefault="00B732AB" w:rsidP="00B732A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Matematični del:</w:t>
      </w:r>
    </w:p>
    <w:p w14:paraId="640414AC" w14:textId="717711A0" w:rsidR="00B732AB" w:rsidRDefault="00B732AB" w:rsidP="00B732AB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Osnove logike, obdelava podatkov – 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>9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šolskih ur (januar 2023)</w:t>
      </w:r>
    </w:p>
    <w:p w14:paraId="7FEC1617" w14:textId="5E359E78" w:rsidR="00612D21" w:rsidRDefault="00612D21" w:rsidP="00B732AB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Ocena izdelkov – 1 šolska ura (junij 2023)</w:t>
      </w:r>
    </w:p>
    <w:p w14:paraId="0B99FBEE" w14:textId="77777777" w:rsidR="00B732AB" w:rsidRDefault="00B732AB" w:rsidP="00B732A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RIN del – Informatika (dva učitelja!):</w:t>
      </w:r>
    </w:p>
    <w:p w14:paraId="2D628D17" w14:textId="4ADCAE68" w:rsidR="00B732AB" w:rsidRDefault="00B732AB" w:rsidP="00B732AB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Pisna predstavitev informacije (MS Word) – 12 šolskih ur (november-december 2022)</w:t>
      </w:r>
    </w:p>
    <w:p w14:paraId="0F1BA1F4" w14:textId="38204A55" w:rsidR="00B732AB" w:rsidRDefault="00B732AB" w:rsidP="00B732AB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Obdelava podatkov – preglednice (MS Excel) – 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>14 šolskih ur (januar – februar 2023)</w:t>
      </w:r>
    </w:p>
    <w:p w14:paraId="20F82FA0" w14:textId="5ABC749B" w:rsidR="00B732AB" w:rsidRDefault="00B732AB" w:rsidP="00B732AB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Slikovna/Računalniška predstavitev informacij </w:t>
      </w:r>
      <w:r w:rsidRPr="00612D21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(PPT/</w:t>
      </w:r>
      <w:proofErr w:type="spellStart"/>
      <w:r w:rsidRPr="00612D21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Canva</w:t>
      </w:r>
      <w:proofErr w:type="spellEnd"/>
      <w:r w:rsidRPr="00612D21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)</w:t>
      </w: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– 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>12 šolskih ur (maj – junij 2023)</w:t>
      </w:r>
    </w:p>
    <w:p w14:paraId="2399EF1C" w14:textId="09AD9C23" w:rsidR="00B732AB" w:rsidRPr="00612D21" w:rsidRDefault="00B732AB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Samostojno delo 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 xml:space="preserve">na projektu (2 × 5 skupin po 3 dijaki) – 16 šolskih ur (marec – april 2023) </w:t>
      </w:r>
      <w:r w:rsidR="00612D21">
        <w:rPr>
          <w:rFonts w:ascii="Tahoma" w:eastAsia="Times New Roman" w:hAnsi="Tahoma" w:cs="Tahoma"/>
          <w:i/>
          <w:iCs/>
          <w:sz w:val="24"/>
          <w:szCs w:val="24"/>
          <w:lang w:eastAsia="sl-SI"/>
        </w:rPr>
        <w:t>(+priprava predstavitve)</w:t>
      </w:r>
    </w:p>
    <w:p w14:paraId="1F4BA458" w14:textId="3BE49F5E" w:rsidR="001B67A3" w:rsidRPr="00E82AFF" w:rsidRDefault="00612D21" w:rsidP="00E82AFF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Predstavitve dijakov in ocena izdelka – 4 šolske ure (junij 2023)</w:t>
      </w:r>
      <w:r w:rsidR="008E2503" w:rsidRPr="00E82AFF">
        <w:rPr>
          <w:rFonts w:ascii="Tahoma" w:eastAsia="Times New Roman" w:hAnsi="Tahoma" w:cs="Tahoma"/>
          <w:sz w:val="24"/>
          <w:szCs w:val="24"/>
          <w:lang w:eastAsia="sl-SI"/>
        </w:rPr>
        <w:br/>
      </w:r>
    </w:p>
    <w:p w14:paraId="73014D75" w14:textId="16FB2B65" w:rsidR="00AA1758" w:rsidRPr="00612D21" w:rsidRDefault="006B06D5" w:rsidP="00612D2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hyperlink r:id="rId8" w:tgtFrame="_blank" w:tooltip="Opis projekta" w:history="1">
        <w:r w:rsidR="00AA1758" w:rsidRPr="00612D21">
          <w:rPr>
            <w:rFonts w:ascii="Tahoma" w:eastAsia="Times New Roman" w:hAnsi="Tahoma" w:cs="Tahoma"/>
            <w:b/>
            <w:bCs/>
            <w:sz w:val="24"/>
            <w:szCs w:val="24"/>
            <w:lang w:eastAsia="sl-SI"/>
          </w:rPr>
          <w:t>Opis projekta</w:t>
        </w:r>
      </w:hyperlink>
    </w:p>
    <w:p w14:paraId="3183018F" w14:textId="6BD00EBB" w:rsidR="002B4C60" w:rsidRPr="00612D21" w:rsidRDefault="007401BB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612D21">
        <w:rPr>
          <w:rFonts w:ascii="Tahoma" w:eastAsia="Times New Roman" w:hAnsi="Tahoma" w:cs="Tahoma"/>
          <w:sz w:val="24"/>
          <w:szCs w:val="24"/>
          <w:lang w:eastAsia="sl-SI"/>
        </w:rPr>
        <w:t>Določitev dela snovi v oddelku, ki se bo obravnaval z digitalno tehnologijo ter digitalno tehnologijo samo</w:t>
      </w:r>
      <w:r w:rsidR="00245E90" w:rsidRPr="00612D21">
        <w:rPr>
          <w:rFonts w:ascii="Tahoma" w:eastAsia="Times New Roman" w:hAnsi="Tahoma" w:cs="Tahoma"/>
          <w:sz w:val="24"/>
          <w:szCs w:val="24"/>
          <w:lang w:eastAsia="sl-SI"/>
        </w:rPr>
        <w:t xml:space="preserve"> (za vsak letnik 1 snov)</w:t>
      </w:r>
      <w:r w:rsidR="008E2503" w:rsidRPr="00612D21">
        <w:rPr>
          <w:rFonts w:ascii="Tahoma" w:eastAsia="Times New Roman" w:hAnsi="Tahoma" w:cs="Tahoma"/>
          <w:sz w:val="24"/>
          <w:szCs w:val="24"/>
          <w:lang w:eastAsia="sl-SI"/>
        </w:rPr>
        <w:t xml:space="preserve"> ter priprava konkretnih učnih ur</w:t>
      </w:r>
      <w:r w:rsidR="00E82AFF">
        <w:rPr>
          <w:rFonts w:ascii="Tahoma" w:eastAsia="Times New Roman" w:hAnsi="Tahoma" w:cs="Tahoma"/>
          <w:sz w:val="24"/>
          <w:szCs w:val="24"/>
          <w:lang w:eastAsia="sl-SI"/>
        </w:rPr>
        <w:t xml:space="preserve"> – uskladitev medpredmetnega povezovanja, do kam kdo pripelje in ocenjevanje</w:t>
      </w:r>
    </w:p>
    <w:p w14:paraId="69700D56" w14:textId="5F2909D3" w:rsidR="002B4C60" w:rsidRDefault="002B4C60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delavnica za učitelje (avgust 2022)</w:t>
      </w:r>
    </w:p>
    <w:p w14:paraId="3BFC9A14" w14:textId="446ABB52" w:rsidR="002B4C60" w:rsidRDefault="002B4C60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prenos pripravljenih dejavnosti v razred</w:t>
      </w:r>
    </w:p>
    <w:p w14:paraId="3EDAE0E0" w14:textId="366F1117" w:rsidR="008E2503" w:rsidRPr="00E82AFF" w:rsidRDefault="008E2503" w:rsidP="00BA46F2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E82AFF">
        <w:rPr>
          <w:rFonts w:ascii="Tahoma" w:eastAsia="Times New Roman" w:hAnsi="Tahoma" w:cs="Tahoma"/>
          <w:sz w:val="24"/>
          <w:szCs w:val="24"/>
          <w:lang w:eastAsia="sl-SI"/>
        </w:rPr>
        <w:t>Dijak spozna digitalno tehnologijo.</w:t>
      </w:r>
      <w:r w:rsidR="00E82AFF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E82AFF">
        <w:rPr>
          <w:rFonts w:ascii="Tahoma" w:eastAsia="Times New Roman" w:hAnsi="Tahoma" w:cs="Tahoma"/>
          <w:sz w:val="24"/>
          <w:szCs w:val="24"/>
          <w:lang w:eastAsia="sl-SI"/>
        </w:rPr>
        <w:t>Dijak s samostojnim delom dokaže, da zna uporabljati digitalno tehnologijo.</w:t>
      </w:r>
    </w:p>
    <w:p w14:paraId="2620C92A" w14:textId="10E50AC7" w:rsidR="001B67A3" w:rsidRDefault="00AA1758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 w:rsidRPr="000B3642"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Predvideni "konkretni izdelki"</w:t>
      </w:r>
    </w:p>
    <w:p w14:paraId="3DDB38EE" w14:textId="400BCC0B" w:rsidR="00612D21" w:rsidRDefault="00612D21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2. letnik SSI</w:t>
      </w:r>
    </w:p>
    <w:p w14:paraId="4673F1E6" w14:textId="42A2B819" w:rsidR="00612D21" w:rsidRDefault="00E82AFF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3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 xml:space="preserve">× 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>4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 xml:space="preserve"> ure matematike izvedene v računalniški učilnici (pripravljene učne priprave za te ure za učitelja (</w:t>
      </w:r>
      <w:r>
        <w:rPr>
          <w:rFonts w:ascii="Tahoma" w:eastAsia="Times New Roman" w:hAnsi="Tahoma" w:cs="Tahoma"/>
          <w:sz w:val="24"/>
          <w:szCs w:val="24"/>
          <w:lang w:eastAsia="sl-SI"/>
        </w:rPr>
        <w:t>3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>*</w:t>
      </w:r>
      <w:r>
        <w:rPr>
          <w:rFonts w:ascii="Tahoma" w:eastAsia="Times New Roman" w:hAnsi="Tahoma" w:cs="Tahoma"/>
          <w:sz w:val="24"/>
          <w:szCs w:val="24"/>
          <w:lang w:eastAsia="sl-SI"/>
        </w:rPr>
        <w:t>4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 xml:space="preserve"> učne priprave)</w:t>
      </w:r>
    </w:p>
    <w:p w14:paraId="6913EC54" w14:textId="31E29A53" w:rsidR="00612D21" w:rsidRDefault="00E82AFF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2</w:t>
      </w:r>
      <w:r w:rsidR="00612D21">
        <w:rPr>
          <w:rFonts w:ascii="Tahoma" w:eastAsia="Times New Roman" w:hAnsi="Tahoma" w:cs="Tahoma"/>
          <w:sz w:val="24"/>
          <w:szCs w:val="24"/>
          <w:lang w:eastAsia="sl-SI"/>
        </w:rPr>
        <w:t>× učni list za dijake</w:t>
      </w:r>
    </w:p>
    <w:p w14:paraId="3C5E424F" w14:textId="7C986CEC" w:rsidR="00612D21" w:rsidRDefault="00E82AFF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Posnetki konstrukcij za dijake</w:t>
      </w:r>
    </w:p>
    <w:p w14:paraId="7E979955" w14:textId="512A7176" w:rsidR="00E82AFF" w:rsidRDefault="00E82AFF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Uporaba programa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Geogebra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in prenos konstruiranja iz papirja v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Geogebro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in v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ACad</w:t>
      </w:r>
      <w:proofErr w:type="spellEnd"/>
    </w:p>
    <w:p w14:paraId="24EABCA3" w14:textId="573678DE" w:rsidR="00E82AFF" w:rsidRDefault="00E82AFF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Načrt hiše v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ACad</w:t>
      </w:r>
      <w:proofErr w:type="spellEnd"/>
    </w:p>
    <w:p w14:paraId="1F9FA25B" w14:textId="427ABD61" w:rsidR="00612D21" w:rsidRPr="000B3642" w:rsidRDefault="00612D21" w:rsidP="00BA28F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sl-SI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sl-SI"/>
        </w:rPr>
        <w:t>1. letnik TGI</w:t>
      </w:r>
    </w:p>
    <w:p w14:paraId="16838E0C" w14:textId="360F7E41" w:rsidR="00612D21" w:rsidRDefault="00612D21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Učni list z navodili (predlogi tem in kje iskati podatke, </w:t>
      </w:r>
      <w:proofErr w:type="spellStart"/>
      <w:r>
        <w:rPr>
          <w:rFonts w:ascii="Tahoma" w:eastAsia="Times New Roman" w:hAnsi="Tahoma" w:cs="Tahoma"/>
          <w:sz w:val="24"/>
          <w:szCs w:val="24"/>
          <w:lang w:eastAsia="sl-SI"/>
        </w:rPr>
        <w:t>časovnica</w:t>
      </w:r>
      <w:proofErr w:type="spellEnd"/>
      <w:r>
        <w:rPr>
          <w:rFonts w:ascii="Tahoma" w:eastAsia="Times New Roman" w:hAnsi="Tahoma" w:cs="Tahoma"/>
          <w:sz w:val="24"/>
          <w:szCs w:val="24"/>
          <w:lang w:eastAsia="sl-SI"/>
        </w:rPr>
        <w:t xml:space="preserve"> izvedbe in kaj morajo vključiti, kriterij za ocenjevanje) – februar/marec 2023</w:t>
      </w:r>
    </w:p>
    <w:p w14:paraId="0B6B6326" w14:textId="488F3A91" w:rsidR="00612D21" w:rsidRDefault="00612D21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Pridobljena ocena pri MAT (obdelava podatkov) in INF (predstavitev podatkov pisno, »ustno«)</w:t>
      </w:r>
    </w:p>
    <w:p w14:paraId="6872AFD6" w14:textId="23372B44" w:rsidR="001B67A3" w:rsidRPr="00AA1758" w:rsidRDefault="00612D21" w:rsidP="00612D21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>10</w:t>
      </w:r>
      <w:r w:rsidR="001B67A3">
        <w:rPr>
          <w:rFonts w:ascii="Tahoma" w:eastAsia="Times New Roman" w:hAnsi="Tahoma" w:cs="Tahoma"/>
          <w:sz w:val="24"/>
          <w:szCs w:val="24"/>
          <w:lang w:eastAsia="sl-SI"/>
        </w:rPr>
        <w:t xml:space="preserve"> projekt</w:t>
      </w:r>
      <w:r>
        <w:rPr>
          <w:rFonts w:ascii="Tahoma" w:eastAsia="Times New Roman" w:hAnsi="Tahoma" w:cs="Tahoma"/>
          <w:sz w:val="24"/>
          <w:szCs w:val="24"/>
          <w:lang w:eastAsia="sl-SI"/>
        </w:rPr>
        <w:t>ov</w:t>
      </w:r>
      <w:r w:rsidR="001B67A3">
        <w:rPr>
          <w:rFonts w:ascii="Tahoma" w:eastAsia="Times New Roman" w:hAnsi="Tahoma" w:cs="Tahoma"/>
          <w:sz w:val="24"/>
          <w:szCs w:val="24"/>
          <w:lang w:eastAsia="sl-SI"/>
        </w:rPr>
        <w:t xml:space="preserve">, ki za </w:t>
      </w:r>
      <w:r>
        <w:rPr>
          <w:rFonts w:ascii="Tahoma" w:eastAsia="Times New Roman" w:hAnsi="Tahoma" w:cs="Tahoma"/>
          <w:sz w:val="24"/>
          <w:szCs w:val="24"/>
          <w:lang w:eastAsia="sl-SI"/>
        </w:rPr>
        <w:t>predstavitev in obdelavo podatkov</w:t>
      </w:r>
      <w:r w:rsidR="001B67A3">
        <w:rPr>
          <w:rFonts w:ascii="Tahoma" w:eastAsia="Times New Roman" w:hAnsi="Tahoma" w:cs="Tahoma"/>
          <w:sz w:val="24"/>
          <w:szCs w:val="24"/>
          <w:lang w:eastAsia="sl-SI"/>
        </w:rPr>
        <w:t xml:space="preserve"> uporabljajo digitalno tehnologijo</w:t>
      </w:r>
    </w:p>
    <w:p w14:paraId="30F7C95B" w14:textId="77777777" w:rsidR="00AA1758" w:rsidRPr="00AA1758" w:rsidRDefault="00AA1758" w:rsidP="00AA175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F6BE88C" w14:textId="71C03E0D" w:rsidR="00AA1758" w:rsidRPr="003B502A" w:rsidRDefault="00AA1758" w:rsidP="008E65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420BD6A" w14:textId="1DB7D96D" w:rsidR="00253403" w:rsidRDefault="00253403" w:rsidP="00563778">
      <w:pPr>
        <w:jc w:val="both"/>
        <w:rPr>
          <w:rFonts w:ascii="Tahoma" w:hAnsi="Tahoma" w:cs="Tahoma"/>
          <w:sz w:val="24"/>
          <w:szCs w:val="24"/>
        </w:rPr>
      </w:pPr>
    </w:p>
    <w:p w14:paraId="311CE904" w14:textId="77777777" w:rsidR="00AA1758" w:rsidRPr="00AA1758" w:rsidRDefault="00AA1758" w:rsidP="00563778">
      <w:pPr>
        <w:jc w:val="both"/>
        <w:rPr>
          <w:rFonts w:ascii="Tahoma" w:hAnsi="Tahoma" w:cs="Tahoma"/>
          <w:sz w:val="24"/>
          <w:szCs w:val="24"/>
        </w:rPr>
      </w:pPr>
    </w:p>
    <w:sectPr w:rsidR="00AA1758" w:rsidRPr="00AA17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093C" w14:textId="77777777" w:rsidR="006B06D5" w:rsidRDefault="006B06D5" w:rsidP="00AA1758">
      <w:pPr>
        <w:spacing w:after="0" w:line="240" w:lineRule="auto"/>
      </w:pPr>
      <w:r>
        <w:separator/>
      </w:r>
    </w:p>
  </w:endnote>
  <w:endnote w:type="continuationSeparator" w:id="0">
    <w:p w14:paraId="25132152" w14:textId="77777777" w:rsidR="006B06D5" w:rsidRDefault="006B06D5" w:rsidP="00AA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3ACB" w14:textId="77777777" w:rsidR="006B06D5" w:rsidRDefault="006B06D5" w:rsidP="00AA1758">
      <w:pPr>
        <w:spacing w:after="0" w:line="240" w:lineRule="auto"/>
      </w:pPr>
      <w:r>
        <w:separator/>
      </w:r>
    </w:p>
  </w:footnote>
  <w:footnote w:type="continuationSeparator" w:id="0">
    <w:p w14:paraId="41EC2240" w14:textId="77777777" w:rsidR="006B06D5" w:rsidRDefault="006B06D5" w:rsidP="00AA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ED2C" w14:textId="77777777" w:rsidR="00AA1758" w:rsidRDefault="00AA1758" w:rsidP="00AA1758">
    <w:pP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</w:pPr>
    <w:r w:rsidRPr="000F30A0">
      <w:rPr>
        <w:rFonts w:eastAsia="Times New Roman" w:cstheme="minorHAnsi"/>
        <w:noProof/>
        <w:sz w:val="16"/>
      </w:rPr>
      <w:drawing>
        <wp:anchor distT="0" distB="0" distL="114300" distR="114300" simplePos="0" relativeHeight="251659264" behindDoc="1" locked="0" layoutInCell="1" allowOverlap="1" wp14:anchorId="6FE514B7" wp14:editId="77180297">
          <wp:simplePos x="0" y="0"/>
          <wp:positionH relativeFrom="column">
            <wp:posOffset>5012055</wp:posOffset>
          </wp:positionH>
          <wp:positionV relativeFrom="paragraph">
            <wp:posOffset>-419100</wp:posOffset>
          </wp:positionV>
          <wp:extent cx="1427452" cy="1120140"/>
          <wp:effectExtent l="0" t="0" r="1905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2019 SGGOS samo logo_BARVNI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52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502A"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>Irena Mrak Merhar</w:t>
    </w:r>
    <w: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 xml:space="preserve"> in Klavdija Hribernik, </w:t>
    </w:r>
  </w:p>
  <w:p w14:paraId="71EF4EA9" w14:textId="2D7066DD" w:rsidR="00AA1758" w:rsidRDefault="00AA1758" w:rsidP="00AA1758">
    <w:pPr>
      <w:rPr>
        <w:rFonts w:ascii="Verdana" w:hAnsi="Verdana"/>
        <w:color w:val="000000"/>
        <w:sz w:val="20"/>
        <w:szCs w:val="20"/>
        <w:shd w:val="clear" w:color="auto" w:fill="FFFFFF"/>
      </w:rPr>
    </w:pPr>
    <w:r>
      <w:rPr>
        <w:rStyle w:val="Poudarek"/>
        <w:rFonts w:ascii="Verdana" w:hAnsi="Verdana"/>
        <w:color w:val="000000"/>
        <w:sz w:val="20"/>
        <w:szCs w:val="20"/>
        <w:shd w:val="clear" w:color="auto" w:fill="FFFFFF"/>
      </w:rPr>
      <w:t>Srednja gradbena, geodetska in okoljevarstvena šola Ljubljana</w:t>
    </w:r>
  </w:p>
  <w:p w14:paraId="444278A9" w14:textId="77777777" w:rsidR="00AA1758" w:rsidRDefault="00AA17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936C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316A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615D9"/>
    <w:multiLevelType w:val="multilevel"/>
    <w:tmpl w:val="C100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D4B93"/>
    <w:multiLevelType w:val="hybridMultilevel"/>
    <w:tmpl w:val="A7422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46257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42B72"/>
    <w:multiLevelType w:val="hybridMultilevel"/>
    <w:tmpl w:val="33C46450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A4"/>
    <w:rsid w:val="0004089B"/>
    <w:rsid w:val="000B3642"/>
    <w:rsid w:val="000E20A4"/>
    <w:rsid w:val="001B67A3"/>
    <w:rsid w:val="00245E90"/>
    <w:rsid w:val="00253403"/>
    <w:rsid w:val="002B4C60"/>
    <w:rsid w:val="002C1E4B"/>
    <w:rsid w:val="00307DD1"/>
    <w:rsid w:val="00563778"/>
    <w:rsid w:val="005859D8"/>
    <w:rsid w:val="00612D21"/>
    <w:rsid w:val="006B06D5"/>
    <w:rsid w:val="007401BB"/>
    <w:rsid w:val="007C0FBA"/>
    <w:rsid w:val="008D0AC0"/>
    <w:rsid w:val="008E2503"/>
    <w:rsid w:val="008E6506"/>
    <w:rsid w:val="008F16CE"/>
    <w:rsid w:val="00937122"/>
    <w:rsid w:val="00AA1758"/>
    <w:rsid w:val="00B732AB"/>
    <w:rsid w:val="00BA28F4"/>
    <w:rsid w:val="00C9225F"/>
    <w:rsid w:val="00E82AFF"/>
    <w:rsid w:val="00E84BF2"/>
    <w:rsid w:val="00F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38A5"/>
  <w15:chartTrackingRefBased/>
  <w15:docId w15:val="{A14E3644-4DC7-4204-9F2E-02C52A9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A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A1758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AA1758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A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1758"/>
  </w:style>
  <w:style w:type="paragraph" w:styleId="Noga">
    <w:name w:val="footer"/>
    <w:basedOn w:val="Navaden"/>
    <w:link w:val="NogaZnak"/>
    <w:uiPriority w:val="99"/>
    <w:unhideWhenUsed/>
    <w:rsid w:val="00AA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1758"/>
  </w:style>
  <w:style w:type="paragraph" w:styleId="Odstavekseznama">
    <w:name w:val="List Paragraph"/>
    <w:basedOn w:val="Navaden"/>
    <w:uiPriority w:val="34"/>
    <w:qFormat/>
    <w:rsid w:val="00307DD1"/>
    <w:pPr>
      <w:ind w:left="720"/>
      <w:contextualSpacing/>
    </w:pPr>
  </w:style>
  <w:style w:type="table" w:styleId="Tabelamrea">
    <w:name w:val="Table Grid"/>
    <w:basedOn w:val="Navadnatabela"/>
    <w:uiPriority w:val="39"/>
    <w:rsid w:val="00B7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a.acm.si/mod/page/view.php?id=1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Standard ISO 690 – prvi element in datum" Version="1987"/>
</file>

<file path=customXml/itemProps1.xml><?xml version="1.0" encoding="utf-8"?>
<ds:datastoreItem xmlns:ds="http://schemas.openxmlformats.org/officeDocument/2006/customXml" ds:itemID="{402B0149-BD77-4BF3-8EE2-4286107E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Mrak Merhar</dc:creator>
  <cp:keywords/>
  <dc:description/>
  <cp:lastModifiedBy>Irena Mrak Merhar</cp:lastModifiedBy>
  <cp:revision>4</cp:revision>
  <dcterms:created xsi:type="dcterms:W3CDTF">2022-08-22T10:40:00Z</dcterms:created>
  <dcterms:modified xsi:type="dcterms:W3CDTF">2022-08-22T11:21:00Z</dcterms:modified>
</cp:coreProperties>
</file>