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B14C" w14:textId="2FA212CB" w:rsidR="00AA1758" w:rsidRPr="00AA1758" w:rsidRDefault="00AA1758" w:rsidP="00361C8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Naslov projekta: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AA1758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Digitalna tehnologija pri pouku matematike</w:t>
      </w:r>
      <w:r w:rsid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/>
      </w:r>
    </w:p>
    <w:p w14:paraId="24F8B288" w14:textId="77777777" w:rsidR="00361C8E" w:rsidRDefault="00BA28F4" w:rsidP="00361C8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Za koga</w:t>
      </w:r>
      <w:r w:rsidR="00AA1758">
        <w:rPr>
          <w:rFonts w:ascii="Tahoma" w:eastAsia="Times New Roman" w:hAnsi="Tahoma" w:cs="Tahoma"/>
          <w:sz w:val="24"/>
          <w:szCs w:val="24"/>
          <w:lang w:eastAsia="sl-SI"/>
        </w:rPr>
        <w:t xml:space="preserve">: 2. letnik SSI </w:t>
      </w:r>
      <w:r w:rsidR="00E73474">
        <w:rPr>
          <w:rFonts w:ascii="Tahoma" w:eastAsia="Times New Roman" w:hAnsi="Tahoma" w:cs="Tahoma"/>
          <w:sz w:val="24"/>
          <w:szCs w:val="24"/>
          <w:lang w:eastAsia="sl-SI"/>
        </w:rPr>
        <w:t>(gradbeni tehnik)</w:t>
      </w:r>
      <w:r w:rsidR="008E2503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br/>
      </w:r>
    </w:p>
    <w:p w14:paraId="411C6FB5" w14:textId="73E5E16C" w:rsidR="00977054" w:rsidRPr="00977054" w:rsidRDefault="00AA1758" w:rsidP="00361C8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[opis namenjen učitelju]</w:t>
      </w:r>
      <w:r w:rsidR="008E6506"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 w:rsidRPr="00977054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8E6506" w:rsidRPr="00977054">
        <w:rPr>
          <w:rFonts w:ascii="Verdana" w:eastAsia="Times New Roman" w:hAnsi="Verdana" w:cs="Times New Roman"/>
          <w:color w:val="000000"/>
          <w:sz w:val="20"/>
          <w:szCs w:val="20"/>
        </w:rPr>
        <w:t>Dijaki ne znajo sami preverjati znanja s pomočjo digitalne tehnologije, ki jim je na voljo. Digitalna tehnologija se pri pouku uporablja redko (kombiniranje učilnic, (navidezno</w:t>
      </w:r>
      <w:r w:rsidR="008E2503" w:rsidRPr="00977054">
        <w:rPr>
          <w:rFonts w:ascii="Verdana" w:eastAsia="Times New Roman" w:hAnsi="Verdana" w:cs="Times New Roman"/>
          <w:color w:val="000000"/>
          <w:sz w:val="20"/>
          <w:szCs w:val="20"/>
        </w:rPr>
        <w:t>?</w:t>
      </w:r>
      <w:r w:rsidR="008E6506" w:rsidRPr="00977054">
        <w:rPr>
          <w:rFonts w:ascii="Verdana" w:eastAsia="Times New Roman" w:hAnsi="Verdana" w:cs="Times New Roman"/>
          <w:color w:val="000000"/>
          <w:sz w:val="20"/>
          <w:szCs w:val="20"/>
        </w:rPr>
        <w:t xml:space="preserve">) zahtevnejše delo, več mrtvega časa (razlika med počasnejšimi in hitrejšimi dijaki)), hkrati pa je želja, da jo dijaki obvladajo in usvojeno znanje dokažejo tudi na poklicni maturi. </w:t>
      </w:r>
      <w:r w:rsidR="008E6506" w:rsidRPr="00977054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977054" w:rsidRPr="00977054">
        <w:rPr>
          <w:rFonts w:ascii="Verdana" w:eastAsia="Times New Roman" w:hAnsi="Verdana" w:cs="Times New Roman"/>
          <w:color w:val="000000"/>
          <w:sz w:val="20"/>
          <w:szCs w:val="20"/>
        </w:rPr>
        <w:t xml:space="preserve">Nadgraditev, popestritev in obogatitev učne vsebine matematike (konkretno snov geometrija v ravnini) z uporabo digitalne tehnologije z namenom: </w:t>
      </w:r>
    </w:p>
    <w:p w14:paraId="7AF65967" w14:textId="1EFD3869" w:rsidR="00977054" w:rsidRPr="00977054" w:rsidRDefault="00977054" w:rsidP="0097705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77054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lahko sami preverijo svoje znanje (brez čakanja na rešitve učitelja) </w:t>
      </w:r>
    </w:p>
    <w:p w14:paraId="57D0BEC6" w14:textId="3FA567B2" w:rsidR="00977054" w:rsidRPr="00977054" w:rsidRDefault="00977054" w:rsidP="009770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77054">
        <w:rPr>
          <w:rFonts w:ascii="Verdana" w:eastAsia="Times New Roman" w:hAnsi="Verdana" w:cs="Times New Roman"/>
          <w:color w:val="000000"/>
          <w:sz w:val="20"/>
          <w:szCs w:val="20"/>
        </w:rPr>
        <w:t>dijaki razumejo digitalno tehnologijo kot pripomoček, ki jim pomaga, ne pa namesto njih razmišlja (torej nadgradijo znanje)</w:t>
      </w:r>
    </w:p>
    <w:p w14:paraId="7E33A398" w14:textId="0B152AF0" w:rsidR="00977054" w:rsidRPr="00977054" w:rsidRDefault="00977054" w:rsidP="009770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77054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uporabljajo digitalno tehnologijo z namenom raziskovanja problemov, nadgrajevanja znanja in uporabo kompleksnih postopkov </w:t>
      </w:r>
    </w:p>
    <w:p w14:paraId="1E17ED1D" w14:textId="4628E973" w:rsidR="00977054" w:rsidRPr="00977054" w:rsidRDefault="00977054" w:rsidP="00361C8E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77054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imajo boljšo predstavo o tekoči snovi </w:t>
      </w:r>
      <w:r w:rsidRPr="00977054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29A96871" w14:textId="2C7DD046" w:rsidR="00E73474" w:rsidRDefault="00AA1758" w:rsidP="00361C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[opis namenjen </w:t>
      </w:r>
      <w:r w:rsidR="007401BB"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dijaku</w:t>
      </w:r>
      <w:r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]</w:t>
      </w:r>
      <w:r w:rsidR="008E6506" w:rsidRPr="0097705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 w:rsidRPr="00977054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E73474">
        <w:rPr>
          <w:rFonts w:ascii="Tahoma" w:eastAsia="Times New Roman" w:hAnsi="Tahoma" w:cs="Tahoma"/>
          <w:sz w:val="24"/>
          <w:szCs w:val="24"/>
          <w:lang w:eastAsia="sl-SI"/>
        </w:rPr>
        <w:t xml:space="preserve">Dijaki pri pouku večkrat postavite vprašanje </w:t>
      </w:r>
      <w:r w:rsidR="00E73474" w:rsidRPr="0009208D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»Kje pa bom to </w:t>
      </w:r>
      <w:proofErr w:type="spellStart"/>
      <w:r w:rsidR="00E73474" w:rsidRPr="0009208D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rabu</w:t>
      </w:r>
      <w:proofErr w:type="spellEnd"/>
      <w:r w:rsidR="00E73474" w:rsidRPr="0009208D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? Zakaj pa moram to znat?«. </w:t>
      </w:r>
      <w:r w:rsidR="00E73474">
        <w:rPr>
          <w:rFonts w:ascii="Tahoma" w:eastAsia="Times New Roman" w:hAnsi="Tahoma" w:cs="Tahoma"/>
          <w:sz w:val="24"/>
          <w:szCs w:val="24"/>
          <w:lang w:eastAsia="sl-SI"/>
        </w:rPr>
        <w:t xml:space="preserve">Odgovor na taka in podobna vprašanja bomo skupaj poiskali v okviru projekta. Tako preprosto snov, kot je geometrija v ravnini, bomo iz tistega klasičnega ročnega načrtovanja prenesli v matematični program </w:t>
      </w:r>
      <w:proofErr w:type="spellStart"/>
      <w:r w:rsidR="00E73474"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 w:rsidR="00E73474">
        <w:rPr>
          <w:rFonts w:ascii="Tahoma" w:eastAsia="Times New Roman" w:hAnsi="Tahoma" w:cs="Tahoma"/>
          <w:sz w:val="24"/>
          <w:szCs w:val="24"/>
          <w:lang w:eastAsia="sl-SI"/>
        </w:rPr>
        <w:t xml:space="preserve"> in program, ki ga gradbeniki uporabljate pri svojem delu </w:t>
      </w:r>
      <w:proofErr w:type="spellStart"/>
      <w:r w:rsidR="00E73474"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  <w:r w:rsidR="00E73474">
        <w:rPr>
          <w:rFonts w:ascii="Tahoma" w:eastAsia="Times New Roman" w:hAnsi="Tahoma" w:cs="Tahoma"/>
          <w:sz w:val="24"/>
          <w:szCs w:val="24"/>
          <w:lang w:eastAsia="sl-SI"/>
        </w:rPr>
        <w:t>. S tem bomo spoznali kje in koliko matematike je v ozadju vaših programov oz. načrtov, kaj morate znati ter kaj morate le razumeti, saj to namesto vas naredi program.</w:t>
      </w:r>
    </w:p>
    <w:p w14:paraId="3DF76978" w14:textId="77777777" w:rsidR="00E73474" w:rsidRDefault="00E73474" w:rsidP="0097705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5260CBB" w14:textId="66768048" w:rsidR="00AA1758" w:rsidRPr="008E2503" w:rsidRDefault="008E6506" w:rsidP="00361C8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977054">
        <w:rPr>
          <w:rFonts w:ascii="Tahoma" w:eastAsia="Times New Roman" w:hAnsi="Tahoma" w:cs="Tahoma"/>
          <w:sz w:val="24"/>
          <w:szCs w:val="24"/>
          <w:lang w:eastAsia="sl-SI"/>
        </w:rPr>
        <w:br/>
      </w:r>
      <w:r w:rsidR="00BA28F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T</w:t>
      </w:r>
      <w:r w:rsidR="00AA1758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emeljna znanja</w:t>
      </w:r>
    </w:p>
    <w:p w14:paraId="035275C9" w14:textId="190B03E7" w:rsidR="008E4255" w:rsidRDefault="00307DD1" w:rsidP="008E4255">
      <w:pPr>
        <w:spacing w:before="100" w:beforeAutospacing="1"/>
        <w:rPr>
          <w:rFonts w:ascii="Tahoma" w:eastAsia="Times New Roman" w:hAnsi="Tahoma" w:cs="Tahoma"/>
          <w:sz w:val="24"/>
          <w:szCs w:val="24"/>
          <w:lang w:eastAsia="sl-SI"/>
        </w:rPr>
      </w:pPr>
      <w:r w:rsidRPr="00937122">
        <w:rPr>
          <w:rFonts w:ascii="Tahoma" w:eastAsia="Times New Roman" w:hAnsi="Tahoma" w:cs="Tahoma"/>
          <w:sz w:val="24"/>
          <w:szCs w:val="24"/>
          <w:lang w:eastAsia="sl-SI"/>
        </w:rPr>
        <w:t>Temeljna znanja RIN:</w:t>
      </w:r>
      <w:r w:rsidR="00BA28F4" w:rsidRPr="00937122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bookmarkStart w:id="0" w:name="_Hlk112311870"/>
      <w:r w:rsidR="00E91DDB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omrežje in internet</w:t>
      </w:r>
      <w:r w:rsidR="000D5261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 </w:t>
      </w:r>
      <w:r w:rsidR="000D5261" w:rsidRPr="000D5261">
        <w:rPr>
          <w:rFonts w:ascii="Tahoma" w:eastAsia="Times New Roman" w:hAnsi="Tahoma" w:cs="Tahoma"/>
          <w:sz w:val="24"/>
          <w:szCs w:val="24"/>
          <w:lang w:eastAsia="sl-SI"/>
        </w:rPr>
        <w:t>(varnost)</w:t>
      </w:r>
      <w:r w:rsidR="00501A02">
        <w:rPr>
          <w:rFonts w:ascii="Tahoma" w:eastAsia="Times New Roman" w:hAnsi="Tahoma" w:cs="Tahoma"/>
          <w:sz w:val="24"/>
          <w:szCs w:val="24"/>
          <w:lang w:eastAsia="sl-SI"/>
        </w:rPr>
        <w:t xml:space="preserve">, </w:t>
      </w:r>
      <w:r w:rsidR="00B01889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algoritmi in programiranje </w:t>
      </w:r>
      <w:r w:rsidR="000D5261" w:rsidRPr="000D5261">
        <w:rPr>
          <w:rFonts w:ascii="Tahoma" w:eastAsia="Times New Roman" w:hAnsi="Tahoma" w:cs="Tahoma"/>
          <w:sz w:val="24"/>
          <w:szCs w:val="24"/>
          <w:lang w:eastAsia="sl-SI"/>
        </w:rPr>
        <w:t>(</w:t>
      </w:r>
      <w:r w:rsidR="00B01889" w:rsidRPr="000D5261">
        <w:rPr>
          <w:rFonts w:ascii="Tahoma" w:eastAsia="Times New Roman" w:hAnsi="Tahoma" w:cs="Tahoma"/>
          <w:sz w:val="24"/>
          <w:szCs w:val="24"/>
          <w:lang w:eastAsia="sl-SI"/>
        </w:rPr>
        <w:t>modularnost</w:t>
      </w:r>
      <w:r w:rsidR="000D5261" w:rsidRPr="000D5261">
        <w:rPr>
          <w:rFonts w:ascii="Tahoma" w:eastAsia="Times New Roman" w:hAnsi="Tahoma" w:cs="Tahoma"/>
          <w:sz w:val="24"/>
          <w:szCs w:val="24"/>
          <w:lang w:eastAsia="sl-SI"/>
        </w:rPr>
        <w:t>)</w:t>
      </w:r>
      <w:r w:rsidR="00B0188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bookmarkEnd w:id="0"/>
    <w:p w14:paraId="10191F95" w14:textId="49420B9A" w:rsidR="00C9225F" w:rsidRDefault="00307DD1" w:rsidP="0090522F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Temeljna znanja matematik:</w:t>
      </w:r>
      <w:r w:rsidR="0090522F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C9225F" w:rsidRPr="0090522F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Geometrija v ravnini </w:t>
      </w:r>
      <w:r w:rsidR="00C9225F">
        <w:rPr>
          <w:rFonts w:ascii="Tahoma" w:eastAsia="Times New Roman" w:hAnsi="Tahoma" w:cs="Tahoma"/>
          <w:sz w:val="24"/>
          <w:szCs w:val="24"/>
          <w:lang w:eastAsia="sl-SI"/>
        </w:rPr>
        <w:t>(osnovni pojmi, skladnost in merjenje kotov, preslikave v ravnini</w:t>
      </w:r>
      <w:r w:rsidR="00E91DDB">
        <w:rPr>
          <w:rFonts w:ascii="Tahoma" w:eastAsia="Times New Roman" w:hAnsi="Tahoma" w:cs="Tahoma"/>
          <w:sz w:val="24"/>
          <w:szCs w:val="24"/>
          <w:lang w:eastAsia="sl-SI"/>
        </w:rPr>
        <w:t xml:space="preserve"> ter načrtovanje: </w:t>
      </w:r>
      <w:r w:rsidR="00C9225F">
        <w:rPr>
          <w:rFonts w:ascii="Tahoma" w:eastAsia="Times New Roman" w:hAnsi="Tahoma" w:cs="Tahoma"/>
          <w:sz w:val="24"/>
          <w:szCs w:val="24"/>
          <w:lang w:eastAsia="sl-SI"/>
        </w:rPr>
        <w:t>trikotnik, krog in krožnica, štirikotnik)</w:t>
      </w:r>
    </w:p>
    <w:p w14:paraId="7FC34296" w14:textId="61F242A5" w:rsidR="00AA1758" w:rsidRPr="00BA28F4" w:rsidRDefault="00BA28F4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BA28F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O</w:t>
      </w:r>
      <w:r w:rsidR="00AA1758" w:rsidRPr="00BA28F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perativni učni cilji</w:t>
      </w:r>
    </w:p>
    <w:p w14:paraId="78684029" w14:textId="53CB24AF" w:rsidR="001B67A3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Zmožnost za uporabljanje tehnologije pri izvajanju matematičnih postopkov</w:t>
      </w:r>
      <w:r w:rsidR="0090522F">
        <w:rPr>
          <w:rFonts w:ascii="Tahoma" w:eastAsia="Times New Roman" w:hAnsi="Tahoma" w:cs="Tahoma"/>
          <w:sz w:val="24"/>
          <w:szCs w:val="24"/>
          <w:lang w:eastAsia="sl-SI"/>
        </w:rPr>
        <w:t>.</w:t>
      </w:r>
    </w:p>
    <w:p w14:paraId="0E76E5BA" w14:textId="33D5DD26" w:rsidR="0090522F" w:rsidRDefault="0090522F" w:rsidP="0090522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pozna pomen in vlogo digitalne/računalniške tehnologije</w:t>
      </w:r>
      <w:r w:rsidR="0066609A">
        <w:rPr>
          <w:rFonts w:ascii="Tahoma" w:eastAsia="Times New Roman" w:hAnsi="Tahoma" w:cs="Tahoma"/>
          <w:sz w:val="24"/>
          <w:szCs w:val="24"/>
          <w:lang w:eastAsia="sl-SI"/>
        </w:rPr>
        <w:t>,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jo spozna in zna uporabljati.</w:t>
      </w:r>
    </w:p>
    <w:p w14:paraId="761F0CF2" w14:textId="3C2F34E4" w:rsidR="003B7089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Dijak </w:t>
      </w:r>
      <w:r w:rsidR="0090522F">
        <w:rPr>
          <w:rFonts w:ascii="Tahoma" w:eastAsia="Times New Roman" w:hAnsi="Tahoma" w:cs="Tahoma"/>
          <w:sz w:val="24"/>
          <w:szCs w:val="24"/>
          <w:lang w:eastAsia="sl-SI"/>
        </w:rPr>
        <w:t xml:space="preserve">razume, katera matematična pravila in postopki so v ozadju posameznega </w:t>
      </w:r>
      <w:r w:rsidR="00B01889">
        <w:rPr>
          <w:rFonts w:ascii="Tahoma" w:eastAsia="Times New Roman" w:hAnsi="Tahoma" w:cs="Tahoma"/>
          <w:sz w:val="24"/>
          <w:szCs w:val="24"/>
          <w:lang w:eastAsia="sl-SI"/>
        </w:rPr>
        <w:t>modula</w:t>
      </w:r>
      <w:r w:rsidR="0090522F">
        <w:rPr>
          <w:rFonts w:ascii="Tahoma" w:eastAsia="Times New Roman" w:hAnsi="Tahoma" w:cs="Tahoma"/>
          <w:sz w:val="24"/>
          <w:szCs w:val="24"/>
          <w:lang w:eastAsia="sl-SI"/>
        </w:rPr>
        <w:t xml:space="preserve"> (npr. nariši pravokotnico, nariši simetralo daljice, nariši kot) </w:t>
      </w:r>
      <w:r w:rsidR="003B7089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(preverjanje rešitve, razumevanje ozadja uporabljene funkcije, zamenjava koraka risanja s primerljivo funkcijo)</w:t>
      </w:r>
    </w:p>
    <w:p w14:paraId="13CA2092" w14:textId="2BC6D8B8" w:rsidR="003B7089" w:rsidRDefault="003B7089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Dijak razume kibernetsko varnost (identifikacija,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avtentikacija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).</w:t>
      </w:r>
    </w:p>
    <w:p w14:paraId="17A29636" w14:textId="063DD2AA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se usposablja za učinkovito in konstruktivno sodelovanje v skupini.</w:t>
      </w:r>
    </w:p>
    <w:p w14:paraId="114A869E" w14:textId="1549A922" w:rsidR="001B67A3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Okvirna časovna opredelitev projekta</w:t>
      </w:r>
      <w:r w:rsidRPr="00AA1758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p w14:paraId="45EA4369" w14:textId="707FFDB1" w:rsidR="00B732AB" w:rsidRDefault="00361C8E" w:rsidP="008024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Geometrija v ravnini – MAT 9h</w:t>
      </w:r>
    </w:p>
    <w:p w14:paraId="793450C8" w14:textId="12A37CC6" w:rsidR="00361C8E" w:rsidRDefault="00361C8E" w:rsidP="008024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/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RIN (varnost, modularnost) – MAT 2h</w:t>
      </w:r>
    </w:p>
    <w:p w14:paraId="6A999460" w14:textId="253CA370" w:rsidR="00361C8E" w:rsidRDefault="00361C8E" w:rsidP="008024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Samostojno delo (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) – 2h</w:t>
      </w:r>
    </w:p>
    <w:p w14:paraId="3B182EB4" w14:textId="179988B2" w:rsidR="00361C8E" w:rsidRDefault="00361C8E" w:rsidP="008024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Samostojno delo (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) – 35h </w:t>
      </w:r>
    </w:p>
    <w:p w14:paraId="7179AA43" w14:textId="0D2DA7C2" w:rsidR="00361C8E" w:rsidRPr="00361C8E" w:rsidRDefault="00361C8E" w:rsidP="008024B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Dodatno - projekt: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Trikotnje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na poljubnem liku v programski jezik</w:t>
      </w:r>
    </w:p>
    <w:p w14:paraId="73014D75" w14:textId="2DB88F08" w:rsidR="00AA1758" w:rsidRPr="00612D21" w:rsidRDefault="00125401" w:rsidP="00612D2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hyperlink r:id="rId8" w:tgtFrame="_blank" w:tooltip="Opis projekta" w:history="1">
        <w:r w:rsidR="00AA1758" w:rsidRPr="00612D21">
          <w:rPr>
            <w:rFonts w:ascii="Tahoma" w:eastAsia="Times New Roman" w:hAnsi="Tahoma" w:cs="Tahoma"/>
            <w:b/>
            <w:bCs/>
            <w:sz w:val="24"/>
            <w:szCs w:val="24"/>
            <w:lang w:eastAsia="sl-SI"/>
          </w:rPr>
          <w:t>Opis proje</w:t>
        </w:r>
        <w:r w:rsidR="00361C8E">
          <w:rPr>
            <w:rFonts w:ascii="Tahoma" w:eastAsia="Times New Roman" w:hAnsi="Tahoma" w:cs="Tahoma"/>
            <w:b/>
            <w:bCs/>
            <w:sz w:val="24"/>
            <w:szCs w:val="24"/>
            <w:lang w:eastAsia="sl-SI"/>
          </w:rPr>
          <w:t>2</w:t>
        </w:r>
        <w:r w:rsidR="00AA1758" w:rsidRPr="00612D21">
          <w:rPr>
            <w:rFonts w:ascii="Tahoma" w:eastAsia="Times New Roman" w:hAnsi="Tahoma" w:cs="Tahoma"/>
            <w:b/>
            <w:bCs/>
            <w:sz w:val="24"/>
            <w:szCs w:val="24"/>
            <w:lang w:eastAsia="sl-SI"/>
          </w:rPr>
          <w:t>kta</w:t>
        </w:r>
      </w:hyperlink>
    </w:p>
    <w:p w14:paraId="3183018F" w14:textId="6BD00EBB" w:rsidR="002B4C60" w:rsidRPr="00612D21" w:rsidRDefault="007401BB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612D21">
        <w:rPr>
          <w:rFonts w:ascii="Tahoma" w:eastAsia="Times New Roman" w:hAnsi="Tahoma" w:cs="Tahoma"/>
          <w:sz w:val="24"/>
          <w:szCs w:val="24"/>
          <w:lang w:eastAsia="sl-SI"/>
        </w:rPr>
        <w:t>Določitev dela snovi v oddelku, ki se bo obravnaval z digitalno tehnologijo ter digitalno tehnologijo samo</w:t>
      </w:r>
      <w:r w:rsidR="00245E90" w:rsidRP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(za vsak letnik 1 snov)</w:t>
      </w:r>
      <w:r w:rsidR="008E2503" w:rsidRP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ter priprava konkretnih učnih ur</w:t>
      </w:r>
      <w:r w:rsidR="00E82AFF">
        <w:rPr>
          <w:rFonts w:ascii="Tahoma" w:eastAsia="Times New Roman" w:hAnsi="Tahoma" w:cs="Tahoma"/>
          <w:sz w:val="24"/>
          <w:szCs w:val="24"/>
          <w:lang w:eastAsia="sl-SI"/>
        </w:rPr>
        <w:t xml:space="preserve"> – uskladitev medpredmetnega povezovanja, do kam kdo pripelje in ocenjevanje</w:t>
      </w:r>
    </w:p>
    <w:p w14:paraId="69700D56" w14:textId="5F2909D3" w:rsidR="002B4C60" w:rsidRDefault="002B4C60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delavnica za učitelje (avgust 2022)</w:t>
      </w:r>
    </w:p>
    <w:p w14:paraId="3BFC9A14" w14:textId="446ABB52" w:rsidR="002B4C60" w:rsidRDefault="002B4C60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prenos pripravljenih dejavnosti v razred</w:t>
      </w:r>
    </w:p>
    <w:p w14:paraId="3EDAE0E0" w14:textId="2540DE6C" w:rsidR="008E2503" w:rsidRDefault="008E2503" w:rsidP="00BA46F2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E82AFF">
        <w:rPr>
          <w:rFonts w:ascii="Tahoma" w:eastAsia="Times New Roman" w:hAnsi="Tahoma" w:cs="Tahoma"/>
          <w:sz w:val="24"/>
          <w:szCs w:val="24"/>
          <w:lang w:eastAsia="sl-SI"/>
        </w:rPr>
        <w:t>Dijak spozna digitalno tehnologijo.</w:t>
      </w:r>
      <w:r w:rsidR="00E82AFF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E82AFF">
        <w:rPr>
          <w:rFonts w:ascii="Tahoma" w:eastAsia="Times New Roman" w:hAnsi="Tahoma" w:cs="Tahoma"/>
          <w:sz w:val="24"/>
          <w:szCs w:val="24"/>
          <w:lang w:eastAsia="sl-SI"/>
        </w:rPr>
        <w:t>Dijak s samostojnim delom dokaže, da zna uporabljati digitalno tehnologijo.</w:t>
      </w:r>
    </w:p>
    <w:p w14:paraId="44A19CCA" w14:textId="0CC12CAF" w:rsidR="00361C8E" w:rsidRPr="00E82AFF" w:rsidRDefault="00361C8E" w:rsidP="00BA46F2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se spozna s skrbjo za varnost in algoritmi (modularnost).</w:t>
      </w:r>
    </w:p>
    <w:p w14:paraId="2620C92A" w14:textId="10E50AC7" w:rsidR="001B67A3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0B3642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Predvideni "konkretni izdelki"</w:t>
      </w:r>
    </w:p>
    <w:p w14:paraId="4673F1E6" w14:textId="0BB263A5" w:rsidR="00612D21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3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× </w:t>
      </w:r>
      <w:r w:rsidR="00455AD2">
        <w:rPr>
          <w:rFonts w:ascii="Tahoma" w:eastAsia="Times New Roman" w:hAnsi="Tahoma" w:cs="Tahoma"/>
          <w:sz w:val="24"/>
          <w:szCs w:val="24"/>
          <w:lang w:eastAsia="sl-SI"/>
        </w:rPr>
        <w:t>2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ure matematike izvedene v računalniški učilnici </w:t>
      </w:r>
    </w:p>
    <w:p w14:paraId="28E618A2" w14:textId="05D88845" w:rsidR="00633DE4" w:rsidRDefault="00455AD2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1× učni list za dijake Geometrija v ravnini </w:t>
      </w:r>
    </w:p>
    <w:p w14:paraId="6F9F70C9" w14:textId="1FE23DBC" w:rsidR="00455AD2" w:rsidRDefault="00455AD2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1× učni list za dijake Matematika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Geogebri</w:t>
      </w:r>
      <w:proofErr w:type="spellEnd"/>
    </w:p>
    <w:p w14:paraId="19168BA4" w14:textId="5CCC1E56" w:rsidR="00455AD2" w:rsidRDefault="00455AD2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1× učni list za dijake RIN pri uporabi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Geogebre</w:t>
      </w:r>
      <w:proofErr w:type="spellEnd"/>
    </w:p>
    <w:p w14:paraId="01E742B6" w14:textId="77777777" w:rsidR="008024B7" w:rsidRDefault="008024B7" w:rsidP="008024B7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Posnetki konstrukcij za dijake (dodatno –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ActivInspire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>, da lahko obnovi konstrukcije na papirju)</w:t>
      </w:r>
    </w:p>
    <w:p w14:paraId="6913EC54" w14:textId="3D4E41C2" w:rsidR="00612D21" w:rsidRDefault="00455AD2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3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× učni list za dijake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– navodilo za samostojno delo </w:t>
      </w:r>
      <w:r w:rsidR="008024B7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(vključena tudi naloga </w:t>
      </w:r>
      <w:proofErr w:type="spellStart"/>
      <w:r w:rsidR="008024B7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trikotenja</w:t>
      </w:r>
      <w:proofErr w:type="spellEnd"/>
      <w:r w:rsidR="008024B7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 na končnem primeru)</w:t>
      </w:r>
    </w:p>
    <w:p w14:paraId="18B7CDD5" w14:textId="4C7C52C1" w:rsidR="003C1150" w:rsidRPr="003C1150" w:rsidRDefault="00E82AFF" w:rsidP="003C115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Uporaba programa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prenos konstruiranja iz papirja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Geogebro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</w:p>
    <w:p w14:paraId="24EABCA3" w14:textId="1FF6ED14" w:rsidR="00E82AFF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Načrt hiše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</w:p>
    <w:p w14:paraId="5EF1CB25" w14:textId="3D3AF7D6" w:rsidR="008024B7" w:rsidRDefault="008024B7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Dodatna naloga: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trikotenje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na poljubnem liku v programski jezik (ena skupina)</w:t>
      </w:r>
    </w:p>
    <w:p w14:paraId="30F7C95B" w14:textId="77777777" w:rsidR="00AA1758" w:rsidRPr="00AA1758" w:rsidRDefault="00AA1758" w:rsidP="00AA175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F6BE88C" w14:textId="71C03E0D" w:rsidR="00AA1758" w:rsidRPr="003B502A" w:rsidRDefault="00AA1758" w:rsidP="008E65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420BD6A" w14:textId="1DB7D96D" w:rsidR="00253403" w:rsidRDefault="00253403" w:rsidP="00563778">
      <w:pPr>
        <w:jc w:val="both"/>
        <w:rPr>
          <w:rFonts w:ascii="Tahoma" w:hAnsi="Tahoma" w:cs="Tahoma"/>
          <w:sz w:val="24"/>
          <w:szCs w:val="24"/>
        </w:rPr>
      </w:pPr>
    </w:p>
    <w:p w14:paraId="311CE904" w14:textId="77777777" w:rsidR="00AA1758" w:rsidRPr="00AA1758" w:rsidRDefault="00AA1758" w:rsidP="00563778">
      <w:pPr>
        <w:jc w:val="both"/>
        <w:rPr>
          <w:rFonts w:ascii="Tahoma" w:hAnsi="Tahoma" w:cs="Tahoma"/>
          <w:sz w:val="24"/>
          <w:szCs w:val="24"/>
        </w:rPr>
      </w:pPr>
    </w:p>
    <w:sectPr w:rsidR="00AA1758" w:rsidRPr="00AA17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5637" w14:textId="77777777" w:rsidR="00125401" w:rsidRDefault="00125401" w:rsidP="00AA1758">
      <w:pPr>
        <w:spacing w:after="0" w:line="240" w:lineRule="auto"/>
      </w:pPr>
      <w:r>
        <w:separator/>
      </w:r>
    </w:p>
  </w:endnote>
  <w:endnote w:type="continuationSeparator" w:id="0">
    <w:p w14:paraId="0F055AAB" w14:textId="77777777" w:rsidR="00125401" w:rsidRDefault="00125401" w:rsidP="00AA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2A9E" w14:textId="77777777" w:rsidR="00125401" w:rsidRDefault="00125401" w:rsidP="00AA1758">
      <w:pPr>
        <w:spacing w:after="0" w:line="240" w:lineRule="auto"/>
      </w:pPr>
      <w:r>
        <w:separator/>
      </w:r>
    </w:p>
  </w:footnote>
  <w:footnote w:type="continuationSeparator" w:id="0">
    <w:p w14:paraId="0CE4A4E8" w14:textId="77777777" w:rsidR="00125401" w:rsidRDefault="00125401" w:rsidP="00AA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ED2C" w14:textId="77777777" w:rsidR="00AA1758" w:rsidRDefault="00AA1758" w:rsidP="00AA1758">
    <w:pP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</w:pPr>
    <w:r w:rsidRPr="000F30A0">
      <w:rPr>
        <w:rFonts w:eastAsia="Times New Roman" w:cstheme="minorHAnsi"/>
        <w:noProof/>
        <w:sz w:val="16"/>
      </w:rPr>
      <w:drawing>
        <wp:anchor distT="0" distB="0" distL="114300" distR="114300" simplePos="0" relativeHeight="251659264" behindDoc="1" locked="0" layoutInCell="1" allowOverlap="1" wp14:anchorId="6FE514B7" wp14:editId="77180297">
          <wp:simplePos x="0" y="0"/>
          <wp:positionH relativeFrom="column">
            <wp:posOffset>5012055</wp:posOffset>
          </wp:positionH>
          <wp:positionV relativeFrom="paragraph">
            <wp:posOffset>-419100</wp:posOffset>
          </wp:positionV>
          <wp:extent cx="1427452" cy="1120140"/>
          <wp:effectExtent l="0" t="0" r="1905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019 SGGOS samo logo_BARVNI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52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02A"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Irena Mrak Merhar</w:t>
    </w: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 xml:space="preserve"> in Klavdija Hribernik, </w:t>
    </w:r>
  </w:p>
  <w:p w14:paraId="71EF4EA9" w14:textId="2D7066DD" w:rsidR="00AA1758" w:rsidRDefault="00AA1758" w:rsidP="00AA1758">
    <w:pPr>
      <w:rPr>
        <w:rFonts w:ascii="Verdana" w:hAnsi="Verdana"/>
        <w:color w:val="000000"/>
        <w:sz w:val="20"/>
        <w:szCs w:val="20"/>
        <w:shd w:val="clear" w:color="auto" w:fill="FFFFFF"/>
      </w:rPr>
    </w:pP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Srednja gradbena, geodetska in okoljevarstvena šola Ljubljana</w:t>
    </w:r>
  </w:p>
  <w:p w14:paraId="444278A9" w14:textId="77777777" w:rsidR="00AA1758" w:rsidRDefault="00AA17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615D9"/>
    <w:multiLevelType w:val="multilevel"/>
    <w:tmpl w:val="C100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D4B93"/>
    <w:multiLevelType w:val="hybridMultilevel"/>
    <w:tmpl w:val="A7422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42B72"/>
    <w:multiLevelType w:val="hybridMultilevel"/>
    <w:tmpl w:val="33C46450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A4"/>
    <w:rsid w:val="0004089B"/>
    <w:rsid w:val="0009208D"/>
    <w:rsid w:val="000B3642"/>
    <w:rsid w:val="000D5261"/>
    <w:rsid w:val="000E20A4"/>
    <w:rsid w:val="00125401"/>
    <w:rsid w:val="001B67A3"/>
    <w:rsid w:val="00245E90"/>
    <w:rsid w:val="00253403"/>
    <w:rsid w:val="002B4C60"/>
    <w:rsid w:val="002C1E4B"/>
    <w:rsid w:val="002E1031"/>
    <w:rsid w:val="00307DD1"/>
    <w:rsid w:val="00361C8E"/>
    <w:rsid w:val="003B7089"/>
    <w:rsid w:val="003C1150"/>
    <w:rsid w:val="00455AD2"/>
    <w:rsid w:val="00501A02"/>
    <w:rsid w:val="005242FB"/>
    <w:rsid w:val="00563778"/>
    <w:rsid w:val="005832E3"/>
    <w:rsid w:val="005859D8"/>
    <w:rsid w:val="00612D21"/>
    <w:rsid w:val="00633DE4"/>
    <w:rsid w:val="0066609A"/>
    <w:rsid w:val="00695268"/>
    <w:rsid w:val="006B06D5"/>
    <w:rsid w:val="007401BB"/>
    <w:rsid w:val="00762A64"/>
    <w:rsid w:val="007A2A2B"/>
    <w:rsid w:val="007C0FBA"/>
    <w:rsid w:val="008024B7"/>
    <w:rsid w:val="008D0AC0"/>
    <w:rsid w:val="008E2503"/>
    <w:rsid w:val="008E4255"/>
    <w:rsid w:val="008E6506"/>
    <w:rsid w:val="008F16CE"/>
    <w:rsid w:val="0090522F"/>
    <w:rsid w:val="00937122"/>
    <w:rsid w:val="00977054"/>
    <w:rsid w:val="00AA1758"/>
    <w:rsid w:val="00B01889"/>
    <w:rsid w:val="00B732AB"/>
    <w:rsid w:val="00BA28F4"/>
    <w:rsid w:val="00C9225F"/>
    <w:rsid w:val="00D74FC4"/>
    <w:rsid w:val="00E73474"/>
    <w:rsid w:val="00E82AFF"/>
    <w:rsid w:val="00E84BF2"/>
    <w:rsid w:val="00E91DDB"/>
    <w:rsid w:val="00EF79EF"/>
    <w:rsid w:val="00F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38A5"/>
  <w15:chartTrackingRefBased/>
  <w15:docId w15:val="{A14E3644-4DC7-4204-9F2E-02C52A9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A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A1758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A175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758"/>
  </w:style>
  <w:style w:type="paragraph" w:styleId="Noga">
    <w:name w:val="footer"/>
    <w:basedOn w:val="Navaden"/>
    <w:link w:val="Nog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758"/>
  </w:style>
  <w:style w:type="paragraph" w:styleId="Odstavekseznama">
    <w:name w:val="List Paragraph"/>
    <w:basedOn w:val="Navaden"/>
    <w:uiPriority w:val="34"/>
    <w:qFormat/>
    <w:rsid w:val="00307DD1"/>
    <w:pPr>
      <w:ind w:left="720"/>
      <w:contextualSpacing/>
    </w:pPr>
  </w:style>
  <w:style w:type="table" w:styleId="Tabelamrea">
    <w:name w:val="Table Grid"/>
    <w:basedOn w:val="Navadnatabela"/>
    <w:uiPriority w:val="39"/>
    <w:rsid w:val="00B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E103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1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a.acm.si/mod/page/view.php?id=1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Standard ISO 690 – prvi element in datum" Version="1987"/>
</file>

<file path=customXml/itemProps1.xml><?xml version="1.0" encoding="utf-8"?>
<ds:datastoreItem xmlns:ds="http://schemas.openxmlformats.org/officeDocument/2006/customXml" ds:itemID="{402B0149-BD77-4BF3-8EE2-4286107E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Mrak Merhar</dc:creator>
  <cp:keywords/>
  <dc:description/>
  <cp:lastModifiedBy>Irena Mrak Merhar</cp:lastModifiedBy>
  <cp:revision>16</cp:revision>
  <dcterms:created xsi:type="dcterms:W3CDTF">2022-08-24T09:08:00Z</dcterms:created>
  <dcterms:modified xsi:type="dcterms:W3CDTF">2022-08-25T12:07:00Z</dcterms:modified>
</cp:coreProperties>
</file>