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74767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PREDLOG UČNEGA SCENARIJA</w:t>
      </w:r>
    </w:p>
    <w:p w:rsidR="00000000" w:rsidDel="00000000" w:rsidP="00000000" w:rsidRDefault="00000000" w:rsidRPr="00000000" w14:paraId="00000003">
      <w:pPr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(avtorji: Sonja Čotar Konrad, Maja Lebeničnik, Andreja Klančar, Tina Štemberger, Andrej Brodnik)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01 PREDSTAVITEV</w:t>
      </w:r>
    </w:p>
    <w:tbl>
      <w:tblPr>
        <w:tblStyle w:val="Table1"/>
        <w:tblW w:w="90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53"/>
        <w:gridCol w:w="5703"/>
        <w:tblGridChange w:id="0">
          <w:tblGrid>
            <w:gridCol w:w="3353"/>
            <w:gridCol w:w="5703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after="0" w:before="0"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Naslov učnega scenarija</w:t>
            </w:r>
          </w:p>
          <w:p w:rsidR="00000000" w:rsidDel="00000000" w:rsidP="00000000" w:rsidRDefault="00000000" w:rsidRPr="00000000" w14:paraId="00000006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Oblikujte kratek, privlačen naslov učnega scenarija.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Identifikator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Tema (glede na področje RIN)</w:t>
            </w:r>
          </w:p>
          <w:p w:rsidR="00000000" w:rsidDel="00000000" w:rsidP="00000000" w:rsidRDefault="00000000" w:rsidRPr="00000000" w14:paraId="0000000B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Označite ustrezno.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9"/>
              </w:numPr>
              <w:spacing w:after="0" w:before="0" w:line="276" w:lineRule="auto"/>
              <w:ind w:left="108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Računalniški sistemi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0"/>
              </w:numPr>
              <w:spacing w:after="0" w:before="0" w:line="276" w:lineRule="auto"/>
              <w:ind w:left="108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Podatki in analiza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1"/>
              </w:numPr>
              <w:spacing w:after="0" w:before="0" w:line="276" w:lineRule="auto"/>
              <w:ind w:left="108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Algoritmi in programiranje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before="0" w:line="276" w:lineRule="auto"/>
              <w:ind w:left="108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Omrežja in internet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after="0" w:before="0" w:line="276" w:lineRule="auto"/>
              <w:ind w:left="108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Učinki računalništva in informatike</w:t>
            </w:r>
          </w:p>
          <w:p w:rsidR="00000000" w:rsidDel="00000000" w:rsidP="00000000" w:rsidRDefault="00000000" w:rsidRPr="00000000" w14:paraId="00000012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Povzetek učnega scenarija</w:t>
            </w:r>
          </w:p>
          <w:p w:rsidR="00000000" w:rsidDel="00000000" w:rsidP="00000000" w:rsidRDefault="00000000" w:rsidRPr="00000000" w14:paraId="00000014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Kratka predstavitev učno aktivnosti.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Ključne besede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3 ključne besede.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Licenca dostopnosti in uporabe učnega scenarija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/>
              <w:drawing>
                <wp:inline distB="0" distT="0" distL="0" distR="0">
                  <wp:extent cx="946150" cy="47815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781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Avtor(ji) učnega scenarija na VIZ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szCs w:val="20"/>
                <w:rtl w:val="0"/>
              </w:rPr>
              <w:t xml:space="preserve">V abecednem vrstnem redu.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before="0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02 KONTEKST IZVEDBE IN PRIPRAVA </w:t>
      </w:r>
    </w:p>
    <w:tbl>
      <w:tblPr>
        <w:tblStyle w:val="Table2"/>
        <w:tblW w:w="90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11"/>
        <w:gridCol w:w="5645"/>
        <w:tblGridChange w:id="0">
          <w:tblGrid>
            <w:gridCol w:w="3411"/>
            <w:gridCol w:w="564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Starost dijakov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Predznanje</w:t>
            </w:r>
          </w:p>
          <w:p w:rsidR="00000000" w:rsidDel="00000000" w:rsidP="00000000" w:rsidRDefault="00000000" w:rsidRPr="00000000" w14:paraId="00000026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Potrebno/pričakovano predznanje.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Trajanje izvedbe</w:t>
            </w:r>
          </w:p>
          <w:p w:rsidR="00000000" w:rsidDel="00000000" w:rsidP="00000000" w:rsidRDefault="00000000" w:rsidRPr="00000000" w14:paraId="00000029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Trajanje izvedbe aktivnosti (pedagoške ure)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Viri za oblikovanje priprave</w:t>
            </w:r>
          </w:p>
          <w:p w:rsidR="00000000" w:rsidDel="00000000" w:rsidP="00000000" w:rsidRDefault="00000000" w:rsidRPr="00000000" w14:paraId="0000002C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Npr. spletne strani, e-knjige in članki, zvočni posnetki, videoposnetki, interaktivni spletni viri, fizični viri (npr. monografije, učbeniki).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Bodite pozorni na kvaliteto podanih virov.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03 NAMEN IN UČNI CILJI (OPERATIVNI)</w:t>
      </w:r>
    </w:p>
    <w:tbl>
      <w:tblPr>
        <w:tblStyle w:val="Table3"/>
        <w:tblW w:w="90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33"/>
        <w:gridCol w:w="5623"/>
        <w:tblGridChange w:id="0">
          <w:tblGrid>
            <w:gridCol w:w="3433"/>
            <w:gridCol w:w="5623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Namen</w:t>
            </w:r>
          </w:p>
          <w:p w:rsidR="00000000" w:rsidDel="00000000" w:rsidP="00000000" w:rsidRDefault="00000000" w:rsidRPr="00000000" w14:paraId="00000032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Splošni cilji učnega scenarija.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Učni cilji (operativni) :</w:t>
            </w:r>
          </w:p>
          <w:p w:rsidR="00000000" w:rsidDel="00000000" w:rsidP="00000000" w:rsidRDefault="00000000" w:rsidRPr="00000000" w14:paraId="00000035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Operativni učni cilji. Učni cilji naj bodo opredeljeni na podlagi dokumenta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Okvir temeljnih vsebin RIN od vrtca do SŠ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 jih lahko smiselno v učenem scenariju tudi dopolnite.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280" w:before="28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04 AKTIVNOST</w:t>
      </w:r>
    </w:p>
    <w:tbl>
      <w:tblPr>
        <w:tblStyle w:val="Table4"/>
        <w:tblW w:w="90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30"/>
        <w:gridCol w:w="5626"/>
        <w:tblGridChange w:id="0">
          <w:tblGrid>
            <w:gridCol w:w="3430"/>
            <w:gridCol w:w="562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Didaktični pristop</w:t>
            </w:r>
          </w:p>
          <w:p w:rsidR="00000000" w:rsidDel="00000000" w:rsidP="00000000" w:rsidRDefault="00000000" w:rsidRPr="00000000" w14:paraId="00000047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Npr. projektno učenje, izkušenjsko učenje, sodelovalno učenje, drugo (navesti).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Material</w:t>
            </w:r>
          </w:p>
          <w:p w:rsidR="00000000" w:rsidDel="00000000" w:rsidP="00000000" w:rsidRDefault="00000000" w:rsidRPr="00000000" w14:paraId="0000004A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Potrebni didaktični pripomočki, oprema, material za izvedbo učnega scenarija.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Koraki izvedbe aktivnosti</w:t>
            </w:r>
          </w:p>
          <w:p w:rsidR="00000000" w:rsidDel="00000000" w:rsidP="00000000" w:rsidRDefault="00000000" w:rsidRPr="00000000" w14:paraId="0000004D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Predvideni koraki aktivnosti, za vsak korak predvidite določen čas.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Prilagoditev aktivnosti</w:t>
            </w:r>
          </w:p>
          <w:p w:rsidR="00000000" w:rsidDel="00000000" w:rsidP="00000000" w:rsidRDefault="00000000" w:rsidRPr="00000000" w14:paraId="00000050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Morebitne možnosti za prožno prilagajanje posameznih korakov glede na starost, (pred)znanje in druge značilnosti dijakov.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280" w:before="28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05 VREDNOTENJE, EVALVACIJA, REFLEKSIJA</w:t>
      </w:r>
    </w:p>
    <w:p w:rsidR="00000000" w:rsidDel="00000000" w:rsidP="00000000" w:rsidRDefault="00000000" w:rsidRPr="00000000" w14:paraId="00000055">
      <w:pPr>
        <w:spacing w:after="280" w:before="28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56.0" w:type="dxa"/>
        <w:jc w:val="left"/>
        <w:tblInd w:w="-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48"/>
        <w:gridCol w:w="5708"/>
        <w:tblGridChange w:id="0">
          <w:tblGrid>
            <w:gridCol w:w="3348"/>
            <w:gridCol w:w="5708"/>
          </w:tblGrid>
        </w:tblGridChange>
      </w:tblGrid>
      <w:tr>
        <w:trPr>
          <w:cantSplit w:val="0"/>
          <w:trHeight w:val="28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Spremljanje in evalvacija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Opišite, kako bo potekalo formativno spremljanje napredka dijakov in evalvacija izvedene aktivnosti. Vir: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https://www.zrss.si/izdelek/formativno-spremljanje-v-podporo-ucenju/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Pripravite vprašanja, zapišite oblikovane namene učenja in kriterije uspešnosti za vrednotenje znanja in spremljanje  napredka dijakov za načrtovane 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Refleksija</w:t>
            </w:r>
          </w:p>
          <w:p w:rsidR="00000000" w:rsidDel="00000000" w:rsidP="00000000" w:rsidRDefault="00000000" w:rsidRPr="00000000" w14:paraId="0000005B">
            <w:pPr>
              <w:shd w:fill="ffffff" w:val="clear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Refleksija izvedbe dejavnosti skupaj z otroki/ učenci (izhodišča pogovora z otroki)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Kaj je bilo dijakom všeč in zakaj – zapis izjav dijakov.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Kaj so dijaki po njihovem mnenju spoznali, ugotovili?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 kom in kako so sodelovali?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Kako so se počutili, kaj do doživljali?</w:t>
            </w:r>
          </w:p>
          <w:p w:rsidR="00000000" w:rsidDel="00000000" w:rsidP="00000000" w:rsidRDefault="00000000" w:rsidRPr="00000000" w14:paraId="00000060">
            <w:pPr>
              <w:shd w:fill="ffffff" w:val="clear"/>
              <w:spacing w:after="0" w:before="0"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hd w:fill="ffffff" w:val="clear"/>
              <w:spacing w:after="0" w:before="0" w:line="276" w:lineRule="auto"/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Profesionalna refleksija načrtovanje in izvedbe: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podlagi izvedbe ocenite ustreznost načrtovanja in izvedbe procesa učenja in poučevanja za dijake v razredu (kaj ocenjujete kot uspešno načrtovanje in kaj bi spremenili/ dopolnili)?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Opišite situacije, na podlagi katerih lahko sklepate, da so se v procesu učenja začeli realizirati zastavljeni cilji.  Pri katerih elementih dejavnosti so bili dijaki uspešni/ delno ali neuspešni?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Katere cilje so dijaki dosegli in katerih mogoče ne, zakaj?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Zapišite pobude in predloge ter komentarje dijakov, ki so jih dali oziroma izrazili v procesu izvedbe in evalvacije.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Zakaj je izvedba dejavnosti lahko primer dobre prakse? Kje ste imeli največ težav in katere predloge izboljšav predlagate?</w:t>
            </w:r>
          </w:p>
          <w:p w:rsidR="00000000" w:rsidDel="00000000" w:rsidP="00000000" w:rsidRDefault="00000000" w:rsidRPr="00000000" w14:paraId="00000067">
            <w:pPr>
              <w:shd w:fill="ffffff" w:val="clear"/>
              <w:spacing w:after="0" w:before="0"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hd w:fill="ffffff" w:val="clear"/>
              <w:spacing w:after="0" w:before="0"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hd w:fill="ffffff" w:val="clear"/>
              <w:spacing w:after="0" w:before="0"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Drugi komentarji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hd w:fill="ffffff" w:val="clear"/>
              <w:spacing w:after="0" w:before="0" w:line="276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06 KURIKULUM</w:t>
      </w:r>
    </w:p>
    <w:tbl>
      <w:tblPr>
        <w:tblStyle w:val="Table6"/>
        <w:tblW w:w="90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90"/>
        <w:gridCol w:w="5666"/>
        <w:tblGridChange w:id="0">
          <w:tblGrid>
            <w:gridCol w:w="3390"/>
            <w:gridCol w:w="566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Medpredmetno povezovanje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Kako se obravnavana tema povezuje z drugimi področji kurikuluma oz. z drugimi učnimi načrti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Povezanost s skupnimi cilji učnih načrtov (označiti in kratko opredeliti):</w:t>
            </w:r>
          </w:p>
          <w:p w:rsidR="00000000" w:rsidDel="00000000" w:rsidP="00000000" w:rsidRDefault="00000000" w:rsidRPr="00000000" w14:paraId="00000074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Kratko opredelite, s katerimi cilji in na kakšen način se omenjena dejavnost povezuje s skupnimi cilji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spacing w:after="0" w:before="0" w:line="276" w:lineRule="auto"/>
              <w:ind w:left="108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Trajnostni razvoj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5"/>
              </w:numPr>
              <w:spacing w:after="0" w:before="0" w:line="276" w:lineRule="auto"/>
              <w:ind w:left="108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Digitalne kompetence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7"/>
              </w:numPr>
              <w:spacing w:after="0" w:before="0" w:line="276" w:lineRule="auto"/>
              <w:ind w:left="108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Zdravje in dobrobit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8"/>
              </w:numPr>
              <w:spacing w:after="0" w:before="0" w:line="276" w:lineRule="auto"/>
              <w:ind w:left="108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Podjetnost</w:t>
            </w:r>
          </w:p>
          <w:p w:rsidR="00000000" w:rsidDel="00000000" w:rsidP="00000000" w:rsidRDefault="00000000" w:rsidRPr="00000000" w14:paraId="00000079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280" w:before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6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2269" w:top="1418" w:left="1417" w:right="1417" w:header="708" w:footer="47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Weidemann Std Medium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spacing w:after="0" w:before="0" w:line="276" w:lineRule="auto"/>
      <w:jc w:val="both"/>
      <w:rPr>
        <w:rFonts w:ascii="Tahoma" w:cs="Tahoma" w:eastAsia="Tahoma" w:hAnsi="Tahoma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11430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4111625" cy="323850"/>
          <wp:effectExtent b="0" l="0" r="0" t="0"/>
          <wp:wrapSquare wrapText="bothSides" distB="0" distT="0" distL="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11625" cy="323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3">
    <w:pPr>
      <w:spacing w:after="0" w:before="0" w:line="276" w:lineRule="auto"/>
      <w:jc w:val="both"/>
      <w:rPr>
        <w:rFonts w:ascii="Tahoma" w:cs="Tahoma" w:eastAsia="Tahoma" w:hAnsi="Tahom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pacing w:after="0" w:before="0" w:line="276" w:lineRule="auto"/>
      <w:jc w:val="both"/>
      <w:rPr>
        <w:rFonts w:ascii="Tahoma" w:cs="Tahoma" w:eastAsia="Tahoma" w:hAnsi="Tahom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spacing w:after="0" w:before="0" w:line="276" w:lineRule="auto"/>
      <w:jc w:val="both"/>
      <w:rPr/>
    </w:pPr>
    <w:r w:rsidDel="00000000" w:rsidR="00000000" w:rsidRPr="00000000">
      <w:rPr>
        <w:color w:val="000000"/>
        <w:sz w:val="14"/>
        <w:szCs w:val="14"/>
        <w:rtl w:val="0"/>
      </w:rPr>
      <w:t xml:space="preserve">Projekt KATARINA </w:t>
    </w:r>
    <w:r w:rsidDel="00000000" w:rsidR="00000000" w:rsidRPr="00000000">
      <w:rPr>
        <w:sz w:val="14"/>
        <w:szCs w:val="14"/>
        <w:rtl w:val="0"/>
      </w:rPr>
      <w:t xml:space="preserve">sofinancirata Republika Slovenija, Ministrstvo za vzgojo in izobraževanje ter Evropska unija – NextGenerationEU</w:t>
    </w:r>
    <w:r w:rsidDel="00000000" w:rsidR="00000000" w:rsidRPr="00000000">
      <w:rPr>
        <w:color w:val="000000"/>
        <w:sz w:val="14"/>
        <w:szCs w:val="14"/>
        <w:rtl w:val="0"/>
      </w:rPr>
      <w:t xml:space="preserve">. </w:t>
    </w:r>
    <w:r w:rsidDel="00000000" w:rsidR="00000000" w:rsidRPr="00000000">
      <w:rPr>
        <w:sz w:val="14"/>
        <w:szCs w:val="14"/>
        <w:rtl w:val="0"/>
      </w:rPr>
      <w:t xml:space="preserve">Projekt se izvaja skladno z Načrtom za okrevanje in odpornost v okviru razvojnega področja Pametna, trajnostna in vključujoča rast, komponente: Krepitev kompetenc, zlasti digitalnih in tistih, ki jih zahtevajo novi poklici in zeleni prehod (C3 K5), za ukrep investicije E: Celovita transformacija (trajnost in odpornost) zelenega in digitalnega izobraževanja.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-567" w:right="0" w:firstLine="283"/>
      <w:jc w:val="left"/>
      <w:rPr>
        <w:rFonts w:ascii="Weidemann Std Medium" w:cs="Weidemann Std Medium" w:eastAsia="Weidemann Std Medium" w:hAnsi="Weidemann Std Medium"/>
        <w:b w:val="0"/>
        <w:i w:val="0"/>
        <w:smallCaps w:val="1"/>
        <w:strike w:val="0"/>
        <w:color w:val="80808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Weidemann Std Medium" w:cs="Weidemann Std Medium" w:eastAsia="Weidemann Std Medium" w:hAnsi="Weidemann Std Medium"/>
        <w:b w:val="0"/>
        <w:i w:val="0"/>
        <w:smallCaps w:val="1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11430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157480</wp:posOffset>
          </wp:positionV>
          <wp:extent cx="4111625" cy="323850"/>
          <wp:effectExtent b="0" l="0" r="0" t="0"/>
          <wp:wrapSquare wrapText="bothSides" distB="0" distT="0" distL="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11625" cy="323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8">
    <w:pPr>
      <w:spacing w:after="0" w:before="0" w:line="276" w:lineRule="auto"/>
      <w:jc w:val="both"/>
      <w:rPr>
        <w:rFonts w:ascii="Weidemann Std Medium" w:cs="Weidemann Std Medium" w:eastAsia="Weidemann Std Medium" w:hAnsi="Weidemann Std Medium"/>
        <w:smallCaps w:val="1"/>
        <w:color w:val="808080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spacing w:after="0" w:before="0" w:line="276" w:lineRule="auto"/>
      <w:jc w:val="both"/>
      <w:rPr>
        <w:rFonts w:ascii="Weidemann Std Medium" w:cs="Weidemann Std Medium" w:eastAsia="Weidemann Std Medium" w:hAnsi="Weidemann Std Medium"/>
        <w:smallCaps w:val="1"/>
        <w:color w:val="808080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spacing w:after="0" w:before="0" w:line="276" w:lineRule="auto"/>
      <w:jc w:val="both"/>
      <w:rPr>
        <w:rFonts w:ascii="Weidemann Std Medium" w:cs="Weidemann Std Medium" w:eastAsia="Weidemann Std Medium" w:hAnsi="Weidemann Std Medium"/>
        <w:smallCaps w:val="1"/>
        <w:color w:val="808080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spacing w:after="0" w:before="0" w:line="276" w:lineRule="auto"/>
      <w:jc w:val="both"/>
      <w:rPr>
        <w:rFonts w:ascii="Weidemann Std Medium" w:cs="Weidemann Std Medium" w:eastAsia="Weidemann Std Medium" w:hAnsi="Weidemann Std Medium"/>
        <w:smallCaps w:val="1"/>
        <w:color w:val="808080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spacing w:after="0" w:before="0" w:line="276" w:lineRule="auto"/>
      <w:jc w:val="both"/>
      <w:rPr/>
    </w:pPr>
    <w:r w:rsidDel="00000000" w:rsidR="00000000" w:rsidRPr="00000000">
      <w:rPr>
        <w:color w:val="000000"/>
        <w:sz w:val="14"/>
        <w:szCs w:val="14"/>
        <w:rtl w:val="0"/>
      </w:rPr>
      <w:t xml:space="preserve">Projekt KATARINA </w:t>
    </w:r>
    <w:r w:rsidDel="00000000" w:rsidR="00000000" w:rsidRPr="00000000">
      <w:rPr>
        <w:sz w:val="14"/>
        <w:szCs w:val="14"/>
        <w:rtl w:val="0"/>
      </w:rPr>
      <w:t xml:space="preserve">sofinancirata Republika Slovenija, Ministrstvo za vzgojo in izobraževanje ter Evropska unija – NextGenerationEU</w:t>
    </w:r>
    <w:r w:rsidDel="00000000" w:rsidR="00000000" w:rsidRPr="00000000">
      <w:rPr>
        <w:color w:val="000000"/>
        <w:sz w:val="14"/>
        <w:szCs w:val="14"/>
        <w:rtl w:val="0"/>
      </w:rPr>
      <w:t xml:space="preserve">. </w:t>
    </w:r>
    <w:r w:rsidDel="00000000" w:rsidR="00000000" w:rsidRPr="00000000">
      <w:rPr>
        <w:sz w:val="14"/>
        <w:szCs w:val="14"/>
        <w:rtl w:val="0"/>
      </w:rPr>
      <w:t xml:space="preserve">Projekt se izvaja skladno z Načrtom za okrevanje in odpornost v okviru razvojnega področja Pametna, trajnostna in vključujoča rast, komponente: Krepitev kompetenc, zlasti digitalnih in tistih, ki jih zahtevajo novi poklici in zeleni prehod (C3 K5), za ukrep investicije E: Celovita transformacija (trajnost in odpornost) zelenega in digitalnega izobraževanja.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KATARINA</w:t>
      <w:tab/>
      <w:t xml:space="preserve">Učni scenarij ….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KATARINA</w:t>
      <w:tab/>
      <w:t xml:space="preserve">Učni scenarij ...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cs="Calibri" w:eastAsia="Calibri" w:hAnsi="Calibri"/>
        <w:b w:val="1"/>
        <w:sz w:val="21"/>
        <w:szCs w:val="21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Calibri" w:cs="Calibri" w:eastAsia="Calibri" w:hAnsi="Calibri"/>
        <w:b w:val="1"/>
        <w:sz w:val="21"/>
        <w:szCs w:val="21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l-S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7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7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7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7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7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7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zrss.si/izdelek/formativno-spremljanje-v-podporo-ucenju/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